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i/>
          <w:u w:val="single"/>
          <w:lang w:val="en-GB"/>
        </w:rPr>
      </w:pPr>
      <w:r>
        <w:rPr>
          <w:b/>
          <w:u w:val="single"/>
          <w:lang w:val="en-GB"/>
        </w:rPr>
        <w:t>REPORT OF PUBLIC HEARINGS ON THE PREPARATION OF MEDIUM TERM DEVELOPMENT PLAN AT SUB-DISTRICT LEVEL</w:t>
      </w:r>
    </w:p>
    <w:p>
      <w:pPr>
        <w:jc w:val="both"/>
        <w:rPr>
          <w:i/>
          <w:lang w:val="en-GB"/>
        </w:rPr>
      </w:pPr>
      <w:r>
        <w:rPr>
          <w:i/>
          <w:lang w:val="en-GB"/>
        </w:rPr>
        <w:t>Name of District:</w:t>
      </w:r>
      <w:r>
        <w:rPr>
          <w:i/>
          <w:lang w:val="en-GB"/>
        </w:rPr>
        <w:tab/>
      </w:r>
      <w:r>
        <w:rPr>
          <w:i/>
          <w:lang w:val="en-GB"/>
        </w:rPr>
        <w:t xml:space="preserve"> Kadjebi</w:t>
      </w:r>
      <w:r>
        <w:rPr>
          <w:i/>
          <w:lang w:val="en-GB"/>
        </w:rPr>
        <w:tab/>
      </w:r>
      <w:r>
        <w:rPr>
          <w:i/>
          <w:lang w:val="en-GB"/>
        </w:rPr>
        <w:tab/>
      </w:r>
      <w:r>
        <w:rPr>
          <w:i/>
          <w:lang w:val="en-GB"/>
        </w:rPr>
        <w:tab/>
      </w:r>
      <w:r>
        <w:rPr>
          <w:i/>
          <w:lang w:val="en-GB"/>
        </w:rPr>
        <w:t>Region: Volta</w:t>
      </w:r>
    </w:p>
    <w:p>
      <w:pPr>
        <w:jc w:val="both"/>
        <w:rPr>
          <w:i/>
          <w:lang w:val="en-GB"/>
        </w:rPr>
      </w:pPr>
    </w:p>
    <w:p>
      <w:pPr>
        <w:pStyle w:val="3"/>
        <w:rPr>
          <w:rFonts w:ascii="Times New Roman" w:hAnsi="Times New Roman"/>
          <w:i/>
          <w:szCs w:val="24"/>
          <w:lang w:val="en-GB"/>
        </w:rPr>
      </w:pPr>
      <w:r>
        <w:rPr>
          <w:rFonts w:ascii="Times New Roman" w:hAnsi="Times New Roman"/>
          <w:i/>
          <w:szCs w:val="24"/>
          <w:lang w:val="en-GB"/>
        </w:rPr>
        <w:t>Name of Town/Zonal/Area Council: Ahamansu and Amanta</w:t>
      </w:r>
    </w:p>
    <w:p>
      <w:pPr>
        <w:pStyle w:val="3"/>
        <w:rPr>
          <w:rFonts w:ascii="Times New Roman" w:hAnsi="Times New Roman"/>
          <w:i/>
          <w:szCs w:val="24"/>
          <w:lang w:val="en-GB"/>
        </w:rPr>
      </w:pPr>
      <w:r>
        <w:rPr>
          <w:rFonts w:ascii="Times New Roman" w:hAnsi="Times New Roman"/>
          <w:i/>
          <w:szCs w:val="24"/>
          <w:lang w:val="en-GB"/>
        </w:rPr>
        <w:t>Venue:</w:t>
      </w:r>
      <w:r>
        <w:rPr>
          <w:rFonts w:ascii="Times New Roman" w:hAnsi="Times New Roman"/>
          <w:i/>
          <w:szCs w:val="24"/>
          <w:lang w:val="en-GB"/>
        </w:rPr>
        <w:tab/>
      </w:r>
      <w:r>
        <w:rPr>
          <w:rFonts w:ascii="Times New Roman" w:hAnsi="Times New Roman"/>
          <w:i/>
          <w:szCs w:val="24"/>
          <w:lang w:val="en-GB"/>
        </w:rPr>
        <w:t>Ahamansu Chief palace and Pampawie community center</w:t>
      </w:r>
      <w:r>
        <w:rPr>
          <w:rFonts w:ascii="Times New Roman" w:hAnsi="Times New Roman"/>
          <w:i/>
          <w:szCs w:val="24"/>
          <w:lang w:val="en-GB"/>
        </w:rPr>
        <w:tab/>
      </w:r>
      <w:r>
        <w:rPr>
          <w:rFonts w:ascii="Times New Roman" w:hAnsi="Times New Roman"/>
          <w:i/>
          <w:szCs w:val="24"/>
          <w:lang w:val="en-GB"/>
        </w:rPr>
        <w:tab/>
      </w:r>
      <w:r>
        <w:rPr>
          <w:rFonts w:ascii="Times New Roman" w:hAnsi="Times New Roman"/>
          <w:i/>
          <w:szCs w:val="24"/>
          <w:lang w:val="en-GB"/>
        </w:rPr>
        <w:tab/>
      </w:r>
      <w:r>
        <w:rPr>
          <w:rFonts w:ascii="Times New Roman" w:hAnsi="Times New Roman"/>
          <w:i/>
          <w:szCs w:val="24"/>
          <w:lang w:val="en-GB"/>
        </w:rPr>
        <w:tab/>
      </w:r>
      <w:r>
        <w:rPr>
          <w:rFonts w:ascii="Times New Roman" w:hAnsi="Times New Roman"/>
          <w:i/>
          <w:szCs w:val="24"/>
          <w:lang w:val="en-GB"/>
        </w:rPr>
        <w:tab/>
      </w:r>
      <w:r>
        <w:rPr>
          <w:rFonts w:ascii="Times New Roman" w:hAnsi="Times New Roman"/>
          <w:i/>
          <w:szCs w:val="24"/>
          <w:lang w:val="en-GB"/>
        </w:rPr>
        <w:t xml:space="preserve">Date: </w:t>
      </w:r>
    </w:p>
    <w:p>
      <w:pPr>
        <w:pStyle w:val="4"/>
        <w:jc w:val="both"/>
        <w:rPr>
          <w:i/>
          <w:lang w:val="en-GB"/>
        </w:rPr>
      </w:pPr>
    </w:p>
    <w:p>
      <w:pPr>
        <w:pStyle w:val="4"/>
        <w:jc w:val="both"/>
        <w:rPr>
          <w:lang w:val="en-GB"/>
        </w:rPr>
      </w:pPr>
      <w:r>
        <w:rPr>
          <w:lang w:val="en-GB"/>
        </w:rPr>
        <w:t>a.</w:t>
      </w:r>
      <w:r>
        <w:rPr>
          <w:lang w:val="en-GB"/>
        </w:rPr>
        <w:tab/>
      </w:r>
      <w:r>
        <w:rPr>
          <w:color w:val="C00000"/>
          <w:lang w:val="en-GB"/>
        </w:rPr>
        <w:t>Medium Of Invitations, Notices, Announcements Issued For Participation</w:t>
      </w:r>
      <w:r>
        <w:rPr>
          <w:lang w:val="en-GB"/>
        </w:rPr>
        <w:t xml:space="preserve"> : letters, announcements via information van</w:t>
      </w:r>
    </w:p>
    <w:p>
      <w:pPr>
        <w:pStyle w:val="4"/>
        <w:jc w:val="both"/>
        <w:rPr>
          <w:lang w:val="en-GB"/>
        </w:rPr>
      </w:pPr>
      <w:r>
        <w:rPr>
          <w:lang w:val="en-GB"/>
        </w:rPr>
        <w:t>b.</w:t>
      </w:r>
      <w:r>
        <w:rPr>
          <w:lang w:val="en-GB"/>
        </w:rPr>
        <w:tab/>
      </w:r>
      <w:r>
        <w:rPr>
          <w:color w:val="C00000"/>
          <w:lang w:val="en-GB"/>
        </w:rPr>
        <w:t>Names Of Special/Interest Groups &amp; Individuals Invited</w:t>
      </w:r>
      <w:r>
        <w:rPr>
          <w:lang w:val="en-GB"/>
        </w:rPr>
        <w:t xml:space="preserve">: Traditional Authorities, Assembly men and women, World Vision, Area Council Executives, Youth Groups, Farmers Associations, and all citizens </w:t>
      </w:r>
    </w:p>
    <w:p>
      <w:pPr>
        <w:pStyle w:val="4"/>
        <w:jc w:val="both"/>
        <w:rPr>
          <w:lang w:val="en-GB"/>
        </w:rPr>
      </w:pPr>
      <w:r>
        <w:rPr>
          <w:lang w:val="en-GB"/>
        </w:rPr>
        <w:t>c.</w:t>
      </w:r>
      <w:r>
        <w:rPr>
          <w:lang w:val="en-GB"/>
        </w:rPr>
        <w:tab/>
      </w:r>
      <w:r>
        <w:rPr>
          <w:color w:val="C00000"/>
          <w:lang w:val="en-GB"/>
        </w:rPr>
        <w:t>Identifiable Representations At Hearin</w:t>
      </w:r>
      <w:r>
        <w:rPr>
          <w:lang w:val="en-GB"/>
        </w:rPr>
        <w:t xml:space="preserve">g:(eg. Ahamansu chief, GES Director, GHSDirector, MOFA Director, DA reps, NCCE Director, NPP reps, NDC reps,  </w:t>
      </w:r>
    </w:p>
    <w:p>
      <w:pPr>
        <w:pStyle w:val="4"/>
        <w:jc w:val="both"/>
        <w:rPr>
          <w:lang w:val="en-GB"/>
        </w:rPr>
      </w:pPr>
      <w:r>
        <w:rPr>
          <w:lang w:val="en-GB"/>
        </w:rPr>
        <w:t>d.</w:t>
      </w:r>
      <w:r>
        <w:rPr>
          <w:lang w:val="en-GB"/>
        </w:rPr>
        <w:tab/>
      </w:r>
      <w:r>
        <w:rPr>
          <w:color w:val="C00000"/>
          <w:lang w:val="en-GB"/>
        </w:rPr>
        <w:t>Total Number Of Persons At Hearing</w:t>
      </w:r>
      <w:r>
        <w:rPr>
          <w:lang w:val="en-GB"/>
        </w:rPr>
        <w:t>: 200</w:t>
      </w:r>
    </w:p>
    <w:p>
      <w:pPr>
        <w:pStyle w:val="4"/>
        <w:jc w:val="both"/>
        <w:rPr>
          <w:lang w:val="en-GB"/>
        </w:rPr>
      </w:pPr>
      <w:r>
        <w:rPr>
          <w:lang w:val="en-GB"/>
        </w:rPr>
        <w:t>e.</w:t>
      </w:r>
      <w:r>
        <w:rPr>
          <w:lang w:val="en-GB"/>
        </w:rPr>
        <w:tab/>
      </w:r>
      <w:r>
        <w:rPr>
          <w:color w:val="C00000"/>
          <w:lang w:val="en-GB"/>
        </w:rPr>
        <w:t>Gender Ratio/Percentage Represented (Or Give a Head Count Of Women)</w:t>
      </w:r>
      <w:r>
        <w:rPr>
          <w:lang w:val="en-GB"/>
        </w:rPr>
        <w:t xml:space="preserve">: </w:t>
      </w:r>
    </w:p>
    <w:p>
      <w:pPr>
        <w:pStyle w:val="4"/>
        <w:jc w:val="both"/>
        <w:rPr>
          <w:lang w:val="en-GB"/>
        </w:rPr>
      </w:pPr>
      <w:r>
        <w:rPr>
          <w:lang w:val="en-GB"/>
        </w:rPr>
        <w:t>f.</w:t>
      </w:r>
      <w:r>
        <w:rPr>
          <w:lang w:val="en-GB"/>
        </w:rPr>
        <w:tab/>
      </w:r>
      <w:r>
        <w:rPr>
          <w:color w:val="C00000"/>
          <w:lang w:val="en-GB"/>
        </w:rPr>
        <w:t>Language(s) Used At Hearing</w:t>
      </w:r>
      <w:r>
        <w:rPr>
          <w:lang w:val="en-GB"/>
        </w:rPr>
        <w:t>: Twi, Ewe and English</w:t>
      </w:r>
    </w:p>
    <w:p>
      <w:pPr>
        <w:pStyle w:val="4"/>
        <w:jc w:val="both"/>
        <w:rPr>
          <w:lang w:val="en-GB"/>
        </w:rPr>
      </w:pPr>
      <w:r>
        <w:rPr>
          <w:lang w:val="en-GB"/>
        </w:rPr>
        <w:t>g.</w:t>
      </w:r>
      <w:r>
        <w:rPr>
          <w:lang w:val="en-GB"/>
        </w:rPr>
        <w:tab/>
      </w:r>
      <w:r>
        <w:rPr>
          <w:color w:val="C00000"/>
          <w:lang w:val="en-GB"/>
        </w:rPr>
        <w:t>Major Issues At Public Hearing (In Order Of Importance)</w:t>
      </w:r>
      <w:r>
        <w:rPr>
          <w:lang w:val="en-GB"/>
        </w:rPr>
        <w:t>:</w:t>
      </w:r>
    </w:p>
    <w:p>
      <w:pPr>
        <w:pStyle w:val="4"/>
        <w:jc w:val="both"/>
        <w:rPr>
          <w:lang w:val="en-GB"/>
        </w:rPr>
      </w:pPr>
    </w:p>
    <w:p>
      <w:pPr>
        <w:pStyle w:val="4"/>
        <w:ind w:left="0" w:leftChars="0"/>
        <w:jc w:val="both"/>
        <w:rPr>
          <w:b/>
          <w:bCs/>
          <w:lang w:val="en-GB"/>
        </w:rPr>
      </w:pPr>
      <w:r>
        <w:rPr>
          <w:b/>
          <w:bCs/>
          <w:lang w:val="en-GB"/>
        </w:rPr>
        <w:t>Presentation Of Overview Of Plan Preparation By The District Planning Officer:</w:t>
      </w:r>
    </w:p>
    <w:p>
      <w:pPr>
        <w:pStyle w:val="4"/>
        <w:ind w:left="0" w:leftChars="100"/>
        <w:jc w:val="left"/>
        <w:rPr>
          <w:lang w:val="en-GB"/>
        </w:rPr>
      </w:pPr>
      <w:r>
        <w:rPr>
          <w:lang w:val="en-GB"/>
        </w:rPr>
        <w:t>The DPO thanks participants for their positive responds to call for duty. And gave overview and purpose of the gathering</w:t>
      </w:r>
    </w:p>
    <w:p>
      <w:pPr>
        <w:pStyle w:val="4"/>
        <w:ind w:left="0" w:leftChars="0"/>
        <w:jc w:val="left"/>
        <w:rPr>
          <w:b/>
          <w:bCs/>
          <w:lang w:val="en-GB"/>
        </w:rPr>
      </w:pPr>
      <w:r>
        <w:rPr>
          <w:b/>
          <w:bCs/>
          <w:lang w:val="en-GB"/>
        </w:rPr>
        <w:t xml:space="preserve">Introduction </w:t>
      </w:r>
    </w:p>
    <w:p>
      <w:pPr>
        <w:spacing w:line="360" w:lineRule="auto"/>
        <w:ind w:left="-720" w:leftChars="100"/>
        <w:jc w:val="left"/>
        <w:rPr>
          <w:sz w:val="24"/>
          <w:szCs w:val="24"/>
        </w:rPr>
      </w:pPr>
      <w:r>
        <w:rPr>
          <w:b w:val="0"/>
          <w:bCs w:val="0"/>
          <w:lang w:val="en-GB"/>
        </w:rPr>
        <w:t>He said, the District is in the process of preparing it medium term development plan(2018-2021) which is the plan that will guide development of the District in the next four years. The plan will seek to identify the current situations, the gaps in all sectors of development, potential, opportunities, constrains and challenges confronting development drive of the District. It will also review the performance of the current MTDP to identify good practice,lapses and what need special focus.</w:t>
      </w:r>
      <w:r>
        <w:rPr>
          <w:sz w:val="24"/>
          <w:szCs w:val="24"/>
        </w:rPr>
        <w:t>The plan was formed in line with GSGDA II thematic area as follows:</w:t>
      </w:r>
    </w:p>
    <w:p>
      <w:pPr>
        <w:pStyle w:val="10"/>
        <w:numPr>
          <w:ilvl w:val="0"/>
          <w:numId w:val="1"/>
        </w:numPr>
        <w:ind w:left="1560" w:leftChars="0"/>
        <w:jc w:val="left"/>
        <w:rPr>
          <w:sz w:val="24"/>
          <w:szCs w:val="24"/>
        </w:rPr>
      </w:pPr>
      <w:r>
        <w:rPr>
          <w:sz w:val="24"/>
          <w:szCs w:val="24"/>
        </w:rPr>
        <w:t>Ensuring and sustaining macroeconomic stability</w:t>
      </w:r>
    </w:p>
    <w:p>
      <w:pPr>
        <w:pStyle w:val="10"/>
        <w:numPr>
          <w:ilvl w:val="0"/>
          <w:numId w:val="1"/>
        </w:numPr>
        <w:ind w:left="1560" w:leftChars="0"/>
        <w:jc w:val="left"/>
        <w:rPr>
          <w:sz w:val="24"/>
          <w:szCs w:val="24"/>
        </w:rPr>
      </w:pPr>
      <w:r>
        <w:rPr>
          <w:sz w:val="24"/>
          <w:szCs w:val="24"/>
        </w:rPr>
        <w:t>Enhancing competitiveness of Ghana private sector</w:t>
      </w:r>
    </w:p>
    <w:p>
      <w:pPr>
        <w:pStyle w:val="10"/>
        <w:numPr>
          <w:ilvl w:val="0"/>
          <w:numId w:val="1"/>
        </w:numPr>
        <w:ind w:left="1560" w:leftChars="0"/>
        <w:jc w:val="left"/>
        <w:rPr>
          <w:sz w:val="24"/>
          <w:szCs w:val="24"/>
        </w:rPr>
      </w:pPr>
      <w:r>
        <w:rPr>
          <w:sz w:val="24"/>
          <w:szCs w:val="24"/>
        </w:rPr>
        <w:t>Accelerated agricultural modernization and sustainable natural</w:t>
      </w:r>
      <w:r>
        <w:rPr>
          <w:sz w:val="24"/>
          <w:szCs w:val="24"/>
          <w:lang w:val="en-GB"/>
        </w:rPr>
        <w:t xml:space="preserve"> </w:t>
      </w:r>
      <w:r>
        <w:rPr>
          <w:sz w:val="24"/>
          <w:szCs w:val="24"/>
        </w:rPr>
        <w:t>resource management</w:t>
      </w:r>
    </w:p>
    <w:p>
      <w:pPr>
        <w:pStyle w:val="10"/>
        <w:numPr>
          <w:ilvl w:val="0"/>
          <w:numId w:val="1"/>
        </w:numPr>
        <w:ind w:left="1560" w:leftChars="0"/>
        <w:jc w:val="left"/>
        <w:rPr>
          <w:sz w:val="24"/>
          <w:szCs w:val="24"/>
        </w:rPr>
      </w:pPr>
      <w:r>
        <w:rPr>
          <w:sz w:val="24"/>
          <w:szCs w:val="24"/>
        </w:rPr>
        <w:t>Infrastructure and human settlement development</w:t>
      </w:r>
    </w:p>
    <w:p>
      <w:pPr>
        <w:pStyle w:val="10"/>
        <w:numPr>
          <w:ilvl w:val="0"/>
          <w:numId w:val="1"/>
        </w:numPr>
        <w:ind w:left="1560" w:leftChars="0"/>
        <w:jc w:val="left"/>
        <w:rPr>
          <w:sz w:val="24"/>
          <w:szCs w:val="24"/>
        </w:rPr>
      </w:pPr>
      <w:r>
        <w:rPr>
          <w:sz w:val="24"/>
          <w:szCs w:val="24"/>
        </w:rPr>
        <w:t>Human development ,productivity and employment</w:t>
      </w:r>
    </w:p>
    <w:p>
      <w:pPr>
        <w:pStyle w:val="10"/>
        <w:numPr>
          <w:ilvl w:val="0"/>
          <w:numId w:val="1"/>
        </w:numPr>
        <w:ind w:left="1560" w:leftChars="0"/>
        <w:jc w:val="left"/>
        <w:rPr>
          <w:b w:val="0"/>
          <w:bCs w:val="0"/>
          <w:lang w:val="en-GB"/>
        </w:rPr>
      </w:pPr>
      <w:r>
        <w:rPr>
          <w:sz w:val="24"/>
          <w:szCs w:val="24"/>
        </w:rPr>
        <w:t>Transparent and accountable governance</w:t>
      </w:r>
    </w:p>
    <w:p>
      <w:pPr>
        <w:pStyle w:val="10"/>
        <w:numPr>
          <w:ilvl w:val="0"/>
          <w:numId w:val="0"/>
        </w:numPr>
        <w:jc w:val="left"/>
        <w:rPr>
          <w:b w:val="0"/>
          <w:bCs w:val="0"/>
          <w:lang w:val="en-GB"/>
        </w:rPr>
      </w:pPr>
      <w:r>
        <w:rPr>
          <w:b w:val="0"/>
          <w:bCs w:val="0"/>
          <w:lang w:val="en-GB"/>
        </w:rPr>
        <w:t>We are currently at data collection stage.</w:t>
      </w:r>
    </w:p>
    <w:p>
      <w:pPr>
        <w:pStyle w:val="4"/>
        <w:ind w:left="0" w:leftChars="0"/>
        <w:jc w:val="left"/>
        <w:rPr>
          <w:b/>
          <w:bCs/>
          <w:lang w:val="en-GB"/>
        </w:rPr>
      </w:pPr>
      <w:r>
        <w:rPr>
          <w:b/>
          <w:bCs/>
          <w:lang w:val="en-GB"/>
        </w:rPr>
        <w:t>On the purpose of the gathering</w:t>
      </w:r>
    </w:p>
    <w:p>
      <w:pPr>
        <w:pStyle w:val="6"/>
        <w:ind w:left="0" w:leftChars="0"/>
        <w:jc w:val="left"/>
        <w:rPr>
          <w:lang w:val="en-GB"/>
        </w:rPr>
      </w:pPr>
      <w:r>
        <w:rPr>
          <w:lang w:val="en-GB"/>
        </w:rPr>
        <w:t>The Development Planning System in Ghana recognizes community participation as an essential and integral part of effective development planning.</w:t>
      </w:r>
    </w:p>
    <w:p>
      <w:pPr>
        <w:pStyle w:val="6"/>
        <w:ind w:left="0"/>
        <w:jc w:val="left"/>
        <w:rPr>
          <w:lang w:val="en-GB"/>
        </w:rPr>
      </w:pPr>
      <w:r>
        <w:rPr>
          <w:lang w:val="en-GB"/>
        </w:rPr>
        <w:t>In pursuance of this objective, Section 3, subsections 1, 2 and 3 of the National Development Planning (System) Act 1994, Act 480, spells out the main tenets of community participation as follows:</w:t>
      </w:r>
    </w:p>
    <w:p>
      <w:pPr>
        <w:pStyle w:val="5"/>
        <w:ind w:left="360"/>
        <w:jc w:val="left"/>
        <w:rPr>
          <w:lang w:val="en-GB"/>
        </w:rPr>
      </w:pPr>
      <w:r>
        <w:rPr>
          <w:lang w:val="en-GB"/>
        </w:rPr>
        <w:t>a)</w:t>
      </w:r>
      <w:r>
        <w:rPr>
          <w:lang w:val="en-GB"/>
        </w:rPr>
        <w:tab/>
      </w:r>
      <w:r>
        <w:rPr>
          <w:lang w:val="en-GB"/>
        </w:rPr>
        <w:t xml:space="preserve">Each DA is required to conduct a public hearing on its District Development Plan before such a Plan is adopted. </w:t>
      </w:r>
    </w:p>
    <w:p>
      <w:pPr>
        <w:pStyle w:val="5"/>
        <w:ind w:left="360"/>
        <w:jc w:val="left"/>
        <w:rPr>
          <w:lang w:val="en-GB"/>
        </w:rPr>
      </w:pPr>
      <w:r>
        <w:rPr>
          <w:lang w:val="en-GB"/>
        </w:rPr>
        <w:t>b)</w:t>
      </w:r>
      <w:r>
        <w:rPr>
          <w:lang w:val="en-GB"/>
        </w:rPr>
        <w:tab/>
      </w:r>
      <w:r>
        <w:rPr>
          <w:lang w:val="en-GB"/>
        </w:rPr>
        <w:t xml:space="preserve">Sub-district authorities (such as town or area councils, Unit committee, etc.) or a local community which have been authorized by the District Planning Authority to prepare a sub-district plan or a local action plan must also conduct public hearing(s) </w:t>
      </w:r>
      <w:r>
        <w:rPr>
          <w:u w:val="single"/>
          <w:lang w:val="en-GB"/>
        </w:rPr>
        <w:t>before</w:t>
      </w:r>
      <w:r>
        <w:rPr>
          <w:lang w:val="en-GB"/>
        </w:rPr>
        <w:t xml:space="preserve"> the adoption of such plans.</w:t>
      </w:r>
    </w:p>
    <w:p>
      <w:pPr>
        <w:pStyle w:val="4"/>
        <w:jc w:val="left"/>
        <w:rPr>
          <w:b w:val="0"/>
          <w:bCs w:val="0"/>
          <w:lang w:val="en-GB"/>
        </w:rPr>
      </w:pPr>
      <w:r>
        <w:rPr>
          <w:b w:val="0"/>
          <w:bCs w:val="0"/>
          <w:lang w:val="en-GB"/>
        </w:rPr>
        <w:t xml:space="preserve">in view of the above, the Assembly see the need to organize this gathering to inform the good people of this District about the plan preparation and their roles as citizens. </w:t>
      </w:r>
    </w:p>
    <w:p>
      <w:pPr>
        <w:pStyle w:val="4"/>
        <w:ind w:left="0" w:leftChars="0"/>
        <w:jc w:val="left"/>
        <w:rPr>
          <w:b/>
          <w:bCs/>
          <w:lang w:val="en-GB"/>
        </w:rPr>
      </w:pPr>
      <w:r>
        <w:rPr>
          <w:b/>
          <w:bCs/>
          <w:lang w:val="en-GB"/>
        </w:rPr>
        <w:t>On the level of participation</w:t>
      </w:r>
    </w:p>
    <w:p>
      <w:pPr>
        <w:pStyle w:val="7"/>
        <w:ind w:left="0" w:leftChars="100"/>
        <w:jc w:val="left"/>
        <w:rPr>
          <w:lang w:val="en-GB"/>
        </w:rPr>
      </w:pPr>
      <w:r>
        <w:rPr>
          <w:lang w:val="en-GB"/>
        </w:rPr>
        <w:t>Each citizen in each locality must be given the opportunity to participate in the development planning process within the District and this implies that public hearings should be open to all. T</w:t>
      </w:r>
      <w:r>
        <w:rPr>
          <w:b w:val="0"/>
          <w:bCs w:val="0"/>
          <w:lang w:val="en-GB"/>
        </w:rPr>
        <w:t xml:space="preserve">o ensure that the plan reflect the needs and aspiration of the District, all stages of the planning process is participatory, </w:t>
      </w:r>
      <w:r>
        <w:rPr>
          <w:lang w:val="en-GB"/>
        </w:rPr>
        <w:t>from data collection and analysis</w:t>
      </w:r>
      <w:r>
        <w:rPr>
          <w:b w:val="0"/>
          <w:bCs w:val="0"/>
          <w:lang w:val="en-GB"/>
        </w:rPr>
        <w:t xml:space="preserve">: which provide input into the plan, </w:t>
      </w:r>
      <w:r>
        <w:rPr>
          <w:b w:val="0"/>
          <w:bCs/>
          <w:lang w:val="en-GB"/>
        </w:rPr>
        <w:t xml:space="preserve">Development Options: which define the directions of development, plan adoption: which happens after draft plans is compiled by DPCU, </w:t>
      </w:r>
      <w:r>
        <w:rPr>
          <w:lang w:val="en-GB"/>
        </w:rPr>
        <w:t>implementation of plans: which is the actual exercise and performance review: which happens for evaluation purposes after plan implementation period has expire to determine way-forward</w:t>
      </w:r>
    </w:p>
    <w:p>
      <w:pPr>
        <w:pStyle w:val="4"/>
        <w:jc w:val="left"/>
        <w:rPr>
          <w:lang w:val="en-GB"/>
        </w:rPr>
      </w:pPr>
    </w:p>
    <w:p>
      <w:pPr>
        <w:pStyle w:val="4"/>
        <w:jc w:val="left"/>
        <w:rPr>
          <w:lang w:val="en-GB"/>
        </w:rPr>
      </w:pPr>
    </w:p>
    <w:p>
      <w:pPr>
        <w:pStyle w:val="4"/>
        <w:ind w:left="0" w:leftChars="0"/>
        <w:jc w:val="left"/>
        <w:rPr>
          <w:b/>
          <w:bCs/>
          <w:lang w:val="en-GB"/>
        </w:rPr>
      </w:pPr>
      <w:r>
        <w:rPr>
          <w:b/>
          <w:bCs/>
          <w:lang w:val="en-GB"/>
        </w:rPr>
        <w:t>On the structure of the plan</w:t>
      </w:r>
    </w:p>
    <w:p>
      <w:pPr>
        <w:pStyle w:val="4"/>
        <w:jc w:val="left"/>
        <w:rPr>
          <w:rFonts w:ascii="Times New Roman" w:hAnsi="Times New Roman"/>
          <w:b w:val="0"/>
          <w:bCs/>
          <w:szCs w:val="24"/>
          <w:lang w:val="en-GB"/>
        </w:rPr>
      </w:pPr>
      <w:r>
        <w:rPr>
          <w:b w:val="0"/>
          <w:bCs w:val="0"/>
          <w:lang w:val="en-GB"/>
        </w:rPr>
        <w:t xml:space="preserve">   He said, the MTDP is made up of (1)</w:t>
      </w:r>
      <w:r>
        <w:rPr>
          <w:rFonts w:ascii="Times New Roman" w:hAnsi="Times New Roman"/>
          <w:b w:val="0"/>
          <w:bCs/>
          <w:szCs w:val="24"/>
          <w:lang w:val="en-GB"/>
        </w:rPr>
        <w:t>Performance Review and Profile/Current Situation/Baseline</w:t>
      </w:r>
      <w:r>
        <w:rPr>
          <w:b w:val="0"/>
          <w:bCs/>
          <w:szCs w:val="24"/>
          <w:lang w:val="en-GB"/>
        </w:rPr>
        <w:t>, (2)</w:t>
      </w:r>
      <w:r>
        <w:rPr>
          <w:rFonts w:ascii="Times New Roman" w:hAnsi="Times New Roman"/>
          <w:b w:val="0"/>
          <w:bCs/>
          <w:szCs w:val="24"/>
          <w:lang w:val="en-GB"/>
        </w:rPr>
        <w:t>Development Issues</w:t>
      </w:r>
      <w:r>
        <w:rPr>
          <w:b w:val="0"/>
          <w:bCs/>
          <w:szCs w:val="24"/>
          <w:lang w:val="en-GB"/>
        </w:rPr>
        <w:t>, (3)</w:t>
      </w:r>
      <w:r>
        <w:rPr>
          <w:rFonts w:ascii="Times New Roman" w:hAnsi="Times New Roman"/>
          <w:b w:val="0"/>
          <w:bCs/>
          <w:szCs w:val="24"/>
          <w:lang w:val="en-GB"/>
        </w:rPr>
        <w:t>Development Projections, Adopted Goals, sub-goals, Objectives and Strategies</w:t>
      </w:r>
      <w:r>
        <w:rPr>
          <w:b w:val="0"/>
          <w:bCs/>
          <w:szCs w:val="24"/>
          <w:lang w:val="en-GB"/>
        </w:rPr>
        <w:t>, (4)</w:t>
      </w:r>
      <w:r>
        <w:rPr>
          <w:rFonts w:ascii="Times New Roman" w:hAnsi="Times New Roman"/>
          <w:b w:val="0"/>
          <w:bCs/>
          <w:szCs w:val="24"/>
          <w:lang w:val="en-GB"/>
        </w:rPr>
        <w:t>Development Programmes and Sub-Programmes of the DA</w:t>
      </w:r>
      <w:r>
        <w:rPr>
          <w:b w:val="0"/>
          <w:bCs/>
          <w:szCs w:val="24"/>
          <w:lang w:val="en-GB"/>
        </w:rPr>
        <w:t>, (5)</w:t>
      </w:r>
      <w:r>
        <w:rPr>
          <w:rFonts w:ascii="Times New Roman" w:hAnsi="Times New Roman"/>
          <w:b w:val="0"/>
          <w:bCs/>
          <w:szCs w:val="24"/>
          <w:lang w:val="en-GB"/>
        </w:rPr>
        <w:t xml:space="preserve">Annual Action Plan of the DA </w:t>
      </w:r>
      <w:r>
        <w:rPr>
          <w:b w:val="0"/>
          <w:bCs/>
          <w:szCs w:val="24"/>
          <w:lang w:val="en-GB"/>
        </w:rPr>
        <w:t>and (6)</w:t>
      </w:r>
      <w:r>
        <w:rPr>
          <w:rFonts w:ascii="Times New Roman" w:hAnsi="Times New Roman"/>
          <w:b w:val="0"/>
          <w:bCs/>
          <w:szCs w:val="24"/>
          <w:lang w:val="en-GB"/>
        </w:rPr>
        <w:t>Implementation, Monitoring and Evaluation</w:t>
      </w:r>
    </w:p>
    <w:p>
      <w:pPr>
        <w:pStyle w:val="4"/>
        <w:jc w:val="left"/>
        <w:rPr>
          <w:rFonts w:ascii="Times New Roman" w:hAnsi="Times New Roman"/>
          <w:b w:val="0"/>
          <w:bCs/>
          <w:szCs w:val="24"/>
          <w:lang w:val="en-GB"/>
        </w:rPr>
      </w:pPr>
    </w:p>
    <w:p>
      <w:pPr>
        <w:pStyle w:val="4"/>
        <w:ind w:left="0" w:leftChars="0"/>
        <w:jc w:val="left"/>
        <w:rPr>
          <w:b/>
          <w:bCs/>
          <w:lang w:val="en-GB"/>
        </w:rPr>
      </w:pPr>
      <w:r>
        <w:rPr>
          <w:b/>
          <w:bCs/>
          <w:lang w:val="en-GB"/>
        </w:rPr>
        <w:t>On the medium of engagements</w:t>
      </w:r>
    </w:p>
    <w:p>
      <w:pPr>
        <w:pStyle w:val="5"/>
        <w:ind w:left="0" w:firstLine="0"/>
        <w:jc w:val="left"/>
        <w:rPr>
          <w:b w:val="0"/>
          <w:bCs w:val="0"/>
          <w:lang w:val="en-GB"/>
        </w:rPr>
      </w:pPr>
      <w:r>
        <w:rPr>
          <w:b w:val="0"/>
          <w:bCs w:val="0"/>
          <w:lang w:val="en-GB"/>
        </w:rPr>
        <w:t>Aside the institutional arrangements of Sub-committee meetings, Assembly meetings, Execo Meetings and client service unit: which is available to collect inputs from citizens to inform plan preparation.</w:t>
      </w:r>
      <w:r>
        <w:rPr>
          <w:b/>
          <w:bCs/>
          <w:lang w:val="en-GB"/>
        </w:rPr>
        <w:t xml:space="preserve"> </w:t>
      </w:r>
      <w:r>
        <w:rPr>
          <w:b w:val="0"/>
          <w:bCs w:val="0"/>
          <w:lang w:val="en-GB"/>
        </w:rPr>
        <w:t>Other</w:t>
      </w:r>
      <w:r>
        <w:rPr>
          <w:b/>
          <w:bCs/>
          <w:lang w:val="en-GB"/>
        </w:rPr>
        <w:t xml:space="preserve"> </w:t>
      </w:r>
      <w:r>
        <w:rPr>
          <w:b w:val="0"/>
          <w:bCs w:val="0"/>
          <w:lang w:val="en-GB"/>
        </w:rPr>
        <w:t>series of engagements programmes are in the pipeline for effective popular participate. This include:</w:t>
      </w:r>
    </w:p>
    <w:p>
      <w:pPr>
        <w:pStyle w:val="5"/>
        <w:numPr>
          <w:ilvl w:val="0"/>
          <w:numId w:val="2"/>
        </w:numPr>
        <w:ind w:left="420" w:leftChars="0" w:firstLine="0"/>
        <w:jc w:val="left"/>
        <w:rPr>
          <w:b w:val="0"/>
          <w:bCs w:val="0"/>
          <w:lang w:val="en-GB"/>
        </w:rPr>
      </w:pPr>
      <w:r>
        <w:rPr>
          <w:b w:val="0"/>
          <w:bCs w:val="0"/>
          <w:lang w:val="en-GB"/>
        </w:rPr>
        <w:t>Public Hearing to inform citizens on plan preparation; this particular programme is one of them, and we six of it kind</w:t>
      </w:r>
    </w:p>
    <w:p>
      <w:pPr>
        <w:pStyle w:val="5"/>
        <w:numPr>
          <w:ilvl w:val="0"/>
          <w:numId w:val="2"/>
        </w:numPr>
        <w:ind w:left="420" w:leftChars="0" w:firstLine="0"/>
        <w:jc w:val="left"/>
        <w:rPr>
          <w:b w:val="0"/>
          <w:bCs w:val="0"/>
          <w:lang w:val="en-GB"/>
        </w:rPr>
      </w:pPr>
      <w:r>
        <w:rPr>
          <w:b w:val="0"/>
          <w:bCs w:val="0"/>
          <w:lang w:val="en-GB"/>
        </w:rPr>
        <w:t xml:space="preserve">Data collection; both structure and unstructured tools will be use. It is ongoing as at now. Please make your available when the field workers call on you. </w:t>
      </w:r>
    </w:p>
    <w:p>
      <w:pPr>
        <w:pStyle w:val="5"/>
        <w:numPr>
          <w:ilvl w:val="0"/>
          <w:numId w:val="2"/>
        </w:numPr>
        <w:ind w:left="420" w:leftChars="0" w:firstLine="0"/>
        <w:jc w:val="left"/>
        <w:rPr>
          <w:b w:val="0"/>
          <w:bCs/>
          <w:u w:val="single"/>
          <w:lang w:val="en-GB"/>
        </w:rPr>
      </w:pPr>
      <w:r>
        <w:rPr>
          <w:b w:val="0"/>
          <w:bCs w:val="0"/>
          <w:lang w:val="en-GB"/>
        </w:rPr>
        <w:t xml:space="preserve">There will be </w:t>
      </w:r>
      <w:r>
        <w:rPr>
          <w:b w:val="0"/>
          <w:bCs/>
          <w:lang w:val="en-GB"/>
        </w:rPr>
        <w:t xml:space="preserve">Public Hearing after Data Collection and Analysis; this is for validation purposes. Data collected must be validated by the direct beneficiaries of the plan </w:t>
      </w:r>
    </w:p>
    <w:p>
      <w:pPr>
        <w:pStyle w:val="5"/>
        <w:numPr>
          <w:ilvl w:val="0"/>
          <w:numId w:val="2"/>
        </w:numPr>
        <w:ind w:left="420" w:leftChars="0" w:firstLine="0"/>
        <w:jc w:val="left"/>
        <w:rPr>
          <w:b w:val="0"/>
          <w:bCs/>
          <w:u w:val="single"/>
          <w:lang w:val="en-GB"/>
        </w:rPr>
      </w:pPr>
      <w:r>
        <w:rPr>
          <w:b w:val="0"/>
          <w:bCs/>
          <w:lang w:val="en-GB"/>
        </w:rPr>
        <w:t>Public Hearing on Development Options; this is to agree on strategies and tools the District can use to attain it goals.</w:t>
      </w:r>
    </w:p>
    <w:p>
      <w:pPr>
        <w:pStyle w:val="5"/>
        <w:numPr>
          <w:ilvl w:val="0"/>
          <w:numId w:val="2"/>
        </w:numPr>
        <w:ind w:left="420" w:leftChars="0" w:firstLine="0"/>
        <w:jc w:val="left"/>
        <w:rPr>
          <w:b w:val="0"/>
          <w:bCs/>
          <w:u w:val="single"/>
          <w:lang w:val="en-GB"/>
        </w:rPr>
      </w:pPr>
      <w:r>
        <w:rPr>
          <w:b w:val="0"/>
          <w:bCs/>
          <w:lang w:val="en-GB"/>
        </w:rPr>
        <w:t xml:space="preserve">Public Hearing on Draft Development Plan; this is for review and validation to ensure the plan reflect the actual needs and aspiration of the District.  </w:t>
      </w:r>
    </w:p>
    <w:p>
      <w:pPr>
        <w:pStyle w:val="5"/>
        <w:numPr>
          <w:ilvl w:val="0"/>
          <w:numId w:val="2"/>
        </w:numPr>
        <w:ind w:left="420" w:leftChars="0" w:firstLine="0"/>
        <w:jc w:val="left"/>
        <w:rPr>
          <w:b w:val="0"/>
          <w:bCs/>
          <w:u w:val="single"/>
          <w:lang w:val="en-GB"/>
        </w:rPr>
      </w:pPr>
      <w:r>
        <w:rPr>
          <w:b w:val="0"/>
          <w:bCs/>
          <w:lang w:val="en-GB"/>
        </w:rPr>
        <w:t>Public Hearing for Plan Adoption. This will be done by the general Assembly after which the document becomes operational and point of reference. I therefore entreat all to take advantage of the above mediums to contribute their quota to ensure the plan reflect the real needs and aspiration of the District</w:t>
      </w:r>
    </w:p>
    <w:p>
      <w:pPr>
        <w:pStyle w:val="5"/>
        <w:ind w:left="0" w:firstLine="0"/>
        <w:jc w:val="both"/>
        <w:rPr>
          <w:b/>
          <w:lang w:val="en-GB"/>
        </w:rPr>
      </w:pPr>
    </w:p>
    <w:p>
      <w:pPr>
        <w:pStyle w:val="4"/>
        <w:jc w:val="both"/>
        <w:rPr>
          <w:b/>
          <w:bCs/>
          <w:lang w:val="en-GB"/>
        </w:rPr>
        <w:sectPr>
          <w:pgSz w:w="11906" w:h="16838"/>
          <w:pgMar w:top="1440" w:right="1800" w:bottom="1440" w:left="1800" w:header="720" w:footer="720" w:gutter="0"/>
          <w:cols w:space="720" w:num="1"/>
          <w:docGrid w:linePitch="360" w:charSpace="0"/>
        </w:sectPr>
      </w:pPr>
    </w:p>
    <w:p>
      <w:pPr>
        <w:pStyle w:val="4"/>
        <w:ind w:left="0" w:leftChars="0" w:firstLine="0" w:firstLineChars="0"/>
        <w:jc w:val="both"/>
        <w:rPr>
          <w:rFonts w:cs="Times New Roman"/>
          <w:b/>
          <w:color w:val="000000" w:themeColor="text1"/>
          <w:szCs w:val="24"/>
          <w14:textFill>
            <w14:solidFill>
              <w14:schemeClr w14:val="tx1"/>
            </w14:solidFill>
          </w14:textFill>
        </w:rPr>
      </w:pPr>
      <w:r>
        <w:rPr>
          <w:b/>
          <w:bCs/>
          <w:lang w:val="en-GB"/>
        </w:rPr>
        <w:t xml:space="preserve">On the </w:t>
      </w:r>
      <w:r>
        <w:rPr>
          <w:rFonts w:cs="Times New Roman"/>
          <w:b/>
          <w:color w:val="000000" w:themeColor="text1"/>
          <w:szCs w:val="24"/>
          <w14:textFill>
            <w14:solidFill>
              <w14:schemeClr w14:val="tx1"/>
            </w14:solidFill>
          </w14:textFill>
        </w:rPr>
        <w:t xml:space="preserve">Stakeholders and Needs Assessment </w:t>
      </w:r>
    </w:p>
    <w:tbl>
      <w:tblPr>
        <w:tblStyle w:val="9"/>
        <w:tblpPr w:leftFromText="180" w:rightFromText="180" w:horzAnchor="margin" w:tblpXSpec="center" w:tblpY="428"/>
        <w:tblW w:w="15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2239"/>
        <w:gridCol w:w="2960"/>
        <w:gridCol w:w="5243"/>
        <w:gridCol w:w="3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717" w:type="dxa"/>
            <w:shd w:val="clear" w:color="auto" w:fill="DEEAF6" w:themeFill="accent1" w:themeFillTint="33"/>
          </w:tcPr>
          <w:p>
            <w:pPr>
              <w:spacing w:after="0" w:line="240" w:lineRule="auto"/>
              <w:jc w:val="center"/>
              <w:rPr>
                <w:rFonts w:cs="Times New Roman"/>
                <w:b/>
                <w:bCs/>
                <w:sz w:val="20"/>
                <w:szCs w:val="20"/>
              </w:rPr>
            </w:pPr>
            <w:r>
              <w:rPr>
                <w:rFonts w:cs="Times New Roman"/>
                <w:b/>
                <w:bCs/>
                <w:sz w:val="20"/>
                <w:szCs w:val="20"/>
              </w:rPr>
              <w:t>S/N</w:t>
            </w:r>
          </w:p>
        </w:tc>
        <w:tc>
          <w:tcPr>
            <w:tcW w:w="2239" w:type="dxa"/>
            <w:shd w:val="clear" w:color="auto" w:fill="DEEAF6" w:themeFill="accent1" w:themeFillTint="33"/>
            <w:vAlign w:val="center"/>
          </w:tcPr>
          <w:p>
            <w:pPr>
              <w:spacing w:after="0" w:line="240" w:lineRule="auto"/>
              <w:jc w:val="center"/>
              <w:rPr>
                <w:rFonts w:cs="Times New Roman"/>
                <w:b/>
                <w:bCs/>
                <w:sz w:val="20"/>
                <w:szCs w:val="20"/>
              </w:rPr>
            </w:pPr>
            <w:r>
              <w:rPr>
                <w:rFonts w:cs="Times New Roman"/>
                <w:b/>
                <w:bCs/>
                <w:sz w:val="20"/>
                <w:szCs w:val="20"/>
              </w:rPr>
              <w:t>STAKEHOLDERS</w:t>
            </w:r>
          </w:p>
        </w:tc>
        <w:tc>
          <w:tcPr>
            <w:tcW w:w="2960" w:type="dxa"/>
            <w:shd w:val="clear" w:color="auto" w:fill="DEEAF6" w:themeFill="accent1" w:themeFillTint="33"/>
            <w:vAlign w:val="center"/>
          </w:tcPr>
          <w:p>
            <w:pPr>
              <w:spacing w:after="0" w:line="240" w:lineRule="auto"/>
              <w:jc w:val="center"/>
              <w:rPr>
                <w:rFonts w:cs="Times New Roman"/>
                <w:b/>
                <w:bCs/>
                <w:sz w:val="20"/>
                <w:szCs w:val="20"/>
              </w:rPr>
            </w:pPr>
            <w:r>
              <w:rPr>
                <w:rFonts w:cs="Times New Roman"/>
                <w:b/>
                <w:bCs/>
                <w:sz w:val="20"/>
                <w:szCs w:val="20"/>
              </w:rPr>
              <w:t>CLASSIFICATION</w:t>
            </w:r>
          </w:p>
        </w:tc>
        <w:tc>
          <w:tcPr>
            <w:tcW w:w="5243" w:type="dxa"/>
            <w:shd w:val="clear" w:color="auto" w:fill="DEEAF6" w:themeFill="accent1" w:themeFillTint="33"/>
            <w:vAlign w:val="center"/>
          </w:tcPr>
          <w:p>
            <w:pPr>
              <w:spacing w:after="0" w:line="240" w:lineRule="auto"/>
              <w:jc w:val="center"/>
              <w:rPr>
                <w:rFonts w:cs="Times New Roman"/>
                <w:b/>
                <w:bCs/>
                <w:sz w:val="20"/>
                <w:szCs w:val="20"/>
              </w:rPr>
            </w:pPr>
            <w:r>
              <w:rPr>
                <w:rFonts w:cs="Times New Roman"/>
                <w:b/>
                <w:bCs/>
                <w:sz w:val="20"/>
                <w:szCs w:val="20"/>
              </w:rPr>
              <w:t>INTEREST/RESPONSIBILITIES</w:t>
            </w:r>
          </w:p>
        </w:tc>
        <w:tc>
          <w:tcPr>
            <w:tcW w:w="3981" w:type="dxa"/>
            <w:shd w:val="clear" w:color="auto" w:fill="DEEAF6" w:themeFill="accent1" w:themeFillTint="33"/>
            <w:vAlign w:val="center"/>
          </w:tcPr>
          <w:p>
            <w:pPr>
              <w:spacing w:after="0" w:line="240" w:lineRule="auto"/>
              <w:jc w:val="center"/>
              <w:rPr>
                <w:rFonts w:cs="Times New Roman"/>
                <w:b/>
                <w:bCs/>
                <w:sz w:val="20"/>
                <w:szCs w:val="20"/>
              </w:rPr>
            </w:pPr>
            <w:r>
              <w:rPr>
                <w:rFonts w:cs="Times New Roman"/>
                <w:b/>
                <w:bCs/>
                <w:sz w:val="20"/>
                <w:szCs w:val="20"/>
              </w:rPr>
              <w:t>INVOLVEMENT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2" w:hRule="atLeast"/>
        </w:trPr>
        <w:tc>
          <w:tcPr>
            <w:tcW w:w="717" w:type="dxa"/>
            <w:shd w:val="clear" w:color="auto" w:fill="FFFFFF" w:themeFill="background1"/>
          </w:tcPr>
          <w:p>
            <w:pPr>
              <w:spacing w:after="0" w:line="240" w:lineRule="auto"/>
              <w:ind w:left="162"/>
              <w:rPr>
                <w:rFonts w:cs="Times New Roman"/>
                <w:color w:val="000000" w:themeColor="text1"/>
                <w:sz w:val="20"/>
                <w:szCs w:val="20"/>
                <w14:textFill>
                  <w14:solidFill>
                    <w14:schemeClr w14:val="tx1"/>
                  </w14:solidFill>
                </w14:textFill>
              </w:rPr>
            </w:pPr>
          </w:p>
          <w:p>
            <w:pPr>
              <w:spacing w:after="0" w:line="240" w:lineRule="auto"/>
              <w:ind w:left="162"/>
              <w:rPr>
                <w:rFonts w:cs="Times New Roman"/>
                <w:color w:val="000000" w:themeColor="text1"/>
                <w:sz w:val="20"/>
                <w:szCs w:val="20"/>
                <w14:textFill>
                  <w14:solidFill>
                    <w14:schemeClr w14:val="tx1"/>
                  </w14:solidFill>
                </w14:textFill>
              </w:rPr>
            </w:pPr>
          </w:p>
          <w:p>
            <w:pPr>
              <w:spacing w:after="0" w:line="240" w:lineRule="auto"/>
              <w:ind w:left="162"/>
              <w:rPr>
                <w:rFonts w:cs="Times New Roman"/>
                <w:color w:val="000000" w:themeColor="text1"/>
                <w:sz w:val="20"/>
                <w:szCs w:val="20"/>
                <w14:textFill>
                  <w14:solidFill>
                    <w14:schemeClr w14:val="tx1"/>
                  </w14:solidFill>
                </w14:textFill>
              </w:rPr>
            </w:pPr>
          </w:p>
          <w:p>
            <w:pPr>
              <w:spacing w:after="0" w:line="240" w:lineRule="auto"/>
              <w:ind w:left="162"/>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1.</w:t>
            </w:r>
          </w:p>
        </w:tc>
        <w:tc>
          <w:tcPr>
            <w:tcW w:w="2239" w:type="dxa"/>
            <w:shd w:val="clear" w:color="auto" w:fill="FFFFFF" w:themeFill="background1"/>
          </w:tcPr>
          <w:p>
            <w:pPr>
              <w:spacing w:after="0" w:line="240" w:lineRule="auto"/>
              <w:ind w:left="360"/>
              <w:jc w:val="both"/>
              <w:rPr>
                <w:rFonts w:cs="Times New Roman"/>
                <w:color w:val="000000" w:themeColor="text1"/>
                <w:sz w:val="20"/>
                <w:szCs w:val="20"/>
                <w14:textFill>
                  <w14:solidFill>
                    <w14:schemeClr w14:val="tx1"/>
                  </w14:solidFill>
                </w14:textFill>
              </w:rPr>
            </w:pPr>
          </w:p>
          <w:p>
            <w:pPr>
              <w:spacing w:after="0" w:line="240" w:lineRule="auto"/>
              <w:ind w:left="360"/>
              <w:jc w:val="both"/>
              <w:rPr>
                <w:rFonts w:cs="Times New Roman"/>
                <w:color w:val="000000" w:themeColor="text1"/>
                <w:sz w:val="20"/>
                <w:szCs w:val="20"/>
                <w14:textFill>
                  <w14:solidFill>
                    <w14:schemeClr w14:val="tx1"/>
                  </w14:solidFill>
                </w14:textFill>
              </w:rPr>
            </w:pPr>
          </w:p>
          <w:p>
            <w:pPr>
              <w:numPr>
                <w:ilvl w:val="0"/>
                <w:numId w:val="3"/>
              </w:numPr>
              <w:spacing w:after="0" w:line="240" w:lineRule="auto"/>
              <w:jc w:val="left"/>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Local Community: Traditional Authorities, Opinion Leaders, Unit Committees, </w:t>
            </w:r>
          </w:p>
        </w:tc>
        <w:tc>
          <w:tcPr>
            <w:tcW w:w="2960" w:type="dxa"/>
            <w:shd w:val="clear" w:color="auto" w:fill="FFFFFF" w:themeFill="background1"/>
          </w:tcPr>
          <w:p>
            <w:pPr>
              <w:spacing w:after="0"/>
              <w:jc w:val="left"/>
              <w:rPr>
                <w:rFonts w:cs="Times New Roman"/>
                <w:color w:val="000000" w:themeColor="text1"/>
                <w:sz w:val="20"/>
                <w:szCs w:val="20"/>
                <w14:textFill>
                  <w14:solidFill>
                    <w14:schemeClr w14:val="tx1"/>
                  </w14:solidFill>
                </w14:textFill>
              </w:rPr>
            </w:pPr>
            <w:r>
              <w:rPr>
                <w:rFonts w:cs="Times New Roman"/>
                <w:b/>
                <w:color w:val="000000" w:themeColor="text1"/>
                <w:sz w:val="20"/>
                <w:szCs w:val="20"/>
                <w14:textFill>
                  <w14:solidFill>
                    <w14:schemeClr w14:val="tx1"/>
                  </w14:solidFill>
                </w14:textFill>
              </w:rPr>
              <w:t>Primary</w:t>
            </w:r>
            <w:r>
              <w:rPr>
                <w:rFonts w:cs="Times New Roman"/>
                <w:color w:val="000000" w:themeColor="text1"/>
                <w:sz w:val="20"/>
                <w:szCs w:val="20"/>
                <w14:textFill>
                  <w14:solidFill>
                    <w14:schemeClr w14:val="tx1"/>
                  </w14:solidFill>
                </w14:textFill>
              </w:rPr>
              <w:t xml:space="preserve"> (they are the direct beneficiaries  of the projects and programmes to be implemented and as such should be actively involved in all </w:t>
            </w:r>
            <w:r>
              <w:rPr>
                <w:rFonts w:cs="Times New Roman"/>
                <w:color w:val="000000" w:themeColor="text1"/>
                <w:sz w:val="20"/>
                <w:szCs w:val="20"/>
                <w:lang w:val="en-GB"/>
                <w14:textFill>
                  <w14:solidFill>
                    <w14:schemeClr w14:val="tx1"/>
                  </w14:solidFill>
                </w14:textFill>
              </w:rPr>
              <w:t>plan preparation</w:t>
            </w:r>
          </w:p>
        </w:tc>
        <w:tc>
          <w:tcPr>
            <w:tcW w:w="5243" w:type="dxa"/>
            <w:shd w:val="clear" w:color="auto" w:fill="FFFFFF" w:themeFill="background1"/>
          </w:tcPr>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Demand accountability</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Transparency</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Support in data collection</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Provide information</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Communal labour/funds contribution</w:t>
            </w:r>
          </w:p>
          <w:p>
            <w:pPr>
              <w:pStyle w:val="10"/>
              <w:numPr>
                <w:ilvl w:val="0"/>
                <w:numId w:val="0"/>
              </w:numPr>
              <w:spacing w:after="0" w:line="240" w:lineRule="auto"/>
              <w:ind w:leftChars="0"/>
              <w:jc w:val="left"/>
              <w:rPr>
                <w:rFonts w:cs="Times New Roman"/>
                <w:color w:val="000000" w:themeColor="text1"/>
                <w:sz w:val="20"/>
                <w:szCs w:val="20"/>
                <w14:textFill>
                  <w14:solidFill>
                    <w14:schemeClr w14:val="tx1"/>
                  </w14:solidFill>
                </w14:textFill>
              </w:rPr>
            </w:pPr>
            <w:r>
              <w:rPr>
                <w:rFonts w:cs="Times New Roman"/>
                <w:color w:val="000000" w:themeColor="text1"/>
                <w:sz w:val="20"/>
                <w:szCs w:val="20"/>
                <w:lang w:val="en-GB"/>
                <w14:textFill>
                  <w14:solidFill>
                    <w14:schemeClr w14:val="tx1"/>
                  </w14:solidFill>
                </w14:textFill>
              </w:rPr>
              <w:t xml:space="preserve">    </w:t>
            </w:r>
            <w:r>
              <w:rPr>
                <w:rFonts w:cs="Times New Roman"/>
                <w:color w:val="000000" w:themeColor="text1"/>
                <w:sz w:val="20"/>
                <w:szCs w:val="20"/>
                <w14:textFill>
                  <w14:solidFill>
                    <w14:schemeClr w14:val="tx1"/>
                  </w14:solidFill>
                </w14:textFill>
              </w:rPr>
              <w:t>Monitor projects</w:t>
            </w:r>
            <w:r>
              <w:rPr>
                <w:rFonts w:cs="Times New Roman"/>
                <w:color w:val="000000" w:themeColor="text1"/>
                <w:sz w:val="20"/>
                <w:szCs w:val="20"/>
                <w:lang w:val="en-GB"/>
                <w14:textFill>
                  <w14:solidFill>
                    <w14:schemeClr w14:val="tx1"/>
                  </w14:solidFill>
                </w14:textFill>
              </w:rPr>
              <w:t xml:space="preserve"> </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Social acceptance/integration</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Conflict management-chiefs </w:t>
            </w:r>
          </w:p>
        </w:tc>
        <w:tc>
          <w:tcPr>
            <w:tcW w:w="3981" w:type="dxa"/>
            <w:shd w:val="clear" w:color="auto" w:fill="FFFFFF" w:themeFill="background1"/>
          </w:tcPr>
          <w:p>
            <w:pPr>
              <w:pStyle w:val="10"/>
              <w:spacing w:after="0" w:line="240" w:lineRule="auto"/>
              <w:ind w:left="360"/>
              <w:rPr>
                <w:rFonts w:cs="Times New Roman"/>
                <w:color w:val="000000" w:themeColor="text1"/>
                <w:sz w:val="20"/>
                <w:szCs w:val="20"/>
                <w14:textFill>
                  <w14:solidFill>
                    <w14:schemeClr w14:val="tx1"/>
                  </w14:solidFill>
                </w14:textFill>
              </w:rPr>
            </w:pPr>
          </w:p>
          <w:p>
            <w:pPr>
              <w:pStyle w:val="10"/>
              <w:spacing w:after="0" w:line="240" w:lineRule="auto"/>
              <w:ind w:left="360"/>
              <w:rPr>
                <w:rFonts w:cs="Times New Roman"/>
                <w:color w:val="000000" w:themeColor="text1"/>
                <w:sz w:val="20"/>
                <w:szCs w:val="20"/>
                <w14:textFill>
                  <w14:solidFill>
                    <w14:schemeClr w14:val="tx1"/>
                  </w14:solidFill>
                </w14:textFill>
              </w:rPr>
            </w:pP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Preparations of plans</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Data collection</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lang w:val="en-GB"/>
                <w14:textFill>
                  <w14:solidFill>
                    <w14:schemeClr w14:val="tx1"/>
                  </w14:solidFill>
                </w14:textFill>
              </w:rPr>
              <w:t>Plan implementation</w:t>
            </w:r>
          </w:p>
          <w:p>
            <w:pPr>
              <w:pStyle w:val="10"/>
              <w:numPr>
                <w:ilvl w:val="0"/>
                <w:numId w:val="0"/>
              </w:numPr>
              <w:spacing w:after="0" w:line="240" w:lineRule="auto"/>
              <w:ind w:leftChars="0"/>
              <w:rPr>
                <w:rFonts w:cs="Times New Roman"/>
                <w:color w:val="000000" w:themeColor="text1"/>
                <w:sz w:val="20"/>
                <w:szCs w:val="20"/>
                <w14:textFill>
                  <w14:solidFill>
                    <w14:schemeClr w14:val="tx1"/>
                  </w14:solidFill>
                </w14:textFill>
              </w:rPr>
            </w:pPr>
            <w:r>
              <w:rPr>
                <w:rFonts w:cs="Times New Roman"/>
                <w:color w:val="000000" w:themeColor="text1"/>
                <w:sz w:val="20"/>
                <w:szCs w:val="20"/>
                <w:lang w:val="en-GB"/>
                <w14:textFill>
                  <w14:solidFill>
                    <w14:schemeClr w14:val="tx1"/>
                  </w14:solidFill>
                </w14:textFill>
              </w:rPr>
              <w:t xml:space="preserve">   </w:t>
            </w:r>
            <w:r>
              <w:rPr>
                <w:rFonts w:cs="Times New Roman"/>
                <w:color w:val="000000" w:themeColor="text1"/>
                <w:sz w:val="20"/>
                <w:szCs w:val="20"/>
                <w14:textFill>
                  <w14:solidFill>
                    <w14:schemeClr w14:val="tx1"/>
                  </w14:solidFill>
                </w14:textFill>
              </w:rPr>
              <w:t xml:space="preserve"> </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Supervision of programme and projects</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Community interface (CSC)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717" w:type="dxa"/>
          </w:tcPr>
          <w:p>
            <w:pPr>
              <w:spacing w:after="0" w:line="240" w:lineRule="auto"/>
              <w:ind w:left="360" w:hanging="198"/>
              <w:jc w:val="both"/>
              <w:rPr>
                <w:rFonts w:cs="Times New Roman"/>
                <w:color w:val="000000" w:themeColor="text1"/>
                <w:sz w:val="20"/>
                <w:szCs w:val="20"/>
                <w14:textFill>
                  <w14:solidFill>
                    <w14:schemeClr w14:val="tx1"/>
                  </w14:solidFill>
                </w14:textFill>
              </w:rPr>
            </w:pPr>
          </w:p>
          <w:p>
            <w:pPr>
              <w:spacing w:after="0" w:line="240" w:lineRule="auto"/>
              <w:ind w:left="360" w:hanging="198"/>
              <w:jc w:val="both"/>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2.</w:t>
            </w:r>
          </w:p>
        </w:tc>
        <w:tc>
          <w:tcPr>
            <w:tcW w:w="2239" w:type="dxa"/>
          </w:tcPr>
          <w:p>
            <w:pPr>
              <w:spacing w:after="0" w:line="240" w:lineRule="auto"/>
              <w:ind w:left="360"/>
              <w:jc w:val="both"/>
              <w:rPr>
                <w:rFonts w:cs="Times New Roman"/>
                <w:color w:val="000000" w:themeColor="text1"/>
                <w:sz w:val="20"/>
                <w:szCs w:val="20"/>
                <w14:textFill>
                  <w14:solidFill>
                    <w14:schemeClr w14:val="tx1"/>
                  </w14:solidFill>
                </w14:textFill>
              </w:rPr>
            </w:pPr>
          </w:p>
          <w:p>
            <w:pPr>
              <w:numPr>
                <w:ilvl w:val="0"/>
                <w:numId w:val="3"/>
              </w:numPr>
              <w:spacing w:after="0" w:line="240" w:lineRule="auto"/>
              <w:jc w:val="both"/>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District Assembly / Assembly Members</w:t>
            </w:r>
          </w:p>
        </w:tc>
        <w:tc>
          <w:tcPr>
            <w:tcW w:w="2960" w:type="dxa"/>
          </w:tcPr>
          <w:p>
            <w:pPr>
              <w:spacing w:after="0" w:line="240" w:lineRule="auto"/>
              <w:jc w:val="left"/>
              <w:rPr>
                <w:rFonts w:cs="Times New Roman"/>
                <w:color w:val="000000" w:themeColor="text1"/>
                <w:sz w:val="20"/>
                <w:szCs w:val="20"/>
                <w14:textFill>
                  <w14:solidFill>
                    <w14:schemeClr w14:val="tx1"/>
                  </w14:solidFill>
                </w14:textFill>
              </w:rPr>
            </w:pPr>
            <w:r>
              <w:rPr>
                <w:rFonts w:cs="Times New Roman"/>
                <w:b/>
                <w:color w:val="000000" w:themeColor="text1"/>
                <w:sz w:val="20"/>
                <w:szCs w:val="20"/>
                <w14:textFill>
                  <w14:solidFill>
                    <w14:schemeClr w14:val="tx1"/>
                  </w14:solidFill>
                </w14:textFill>
              </w:rPr>
              <w:t>Primary;</w:t>
            </w:r>
            <w:r>
              <w:rPr>
                <w:rFonts w:cs="Times New Roman"/>
                <w:color w:val="000000" w:themeColor="text1"/>
                <w:sz w:val="20"/>
                <w:szCs w:val="20"/>
                <w14:textFill>
                  <w14:solidFill>
                    <w14:schemeClr w14:val="tx1"/>
                  </w14:solidFill>
                </w14:textFill>
              </w:rPr>
              <w:t xml:space="preserve"> since they initiate and formulate policies, programmes and projects</w:t>
            </w:r>
          </w:p>
        </w:tc>
        <w:tc>
          <w:tcPr>
            <w:tcW w:w="5243" w:type="dxa"/>
          </w:tcPr>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Policy formulation</w:t>
            </w:r>
          </w:p>
          <w:p>
            <w:pPr>
              <w:pStyle w:val="10"/>
              <w:numPr>
                <w:ilvl w:val="0"/>
                <w:numId w:val="5"/>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Development Planning</w:t>
            </w:r>
          </w:p>
          <w:p>
            <w:pPr>
              <w:pStyle w:val="10"/>
              <w:numPr>
                <w:ilvl w:val="0"/>
                <w:numId w:val="5"/>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Approve budget</w:t>
            </w:r>
          </w:p>
          <w:p>
            <w:pPr>
              <w:pStyle w:val="10"/>
              <w:numPr>
                <w:ilvl w:val="0"/>
                <w:numId w:val="5"/>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Track/inspect/assess projects and programmes </w:t>
            </w:r>
          </w:p>
        </w:tc>
        <w:tc>
          <w:tcPr>
            <w:tcW w:w="3981" w:type="dxa"/>
          </w:tcPr>
          <w:p>
            <w:pPr>
              <w:pStyle w:val="10"/>
              <w:spacing w:after="0" w:line="240" w:lineRule="auto"/>
              <w:ind w:left="360"/>
              <w:rPr>
                <w:rFonts w:cs="Times New Roman"/>
                <w:color w:val="000000" w:themeColor="text1"/>
                <w:sz w:val="20"/>
                <w:szCs w:val="20"/>
                <w14:textFill>
                  <w14:solidFill>
                    <w14:schemeClr w14:val="tx1"/>
                  </w14:solidFill>
                </w14:textFill>
              </w:rPr>
            </w:pP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Preparations of plans</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Data collection</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lang w:val="en-GB"/>
                <w14:textFill>
                  <w14:solidFill>
                    <w14:schemeClr w14:val="tx1"/>
                  </w14:solidFill>
                </w14:textFill>
              </w:rPr>
              <w:t>Plan implementation</w:t>
            </w:r>
          </w:p>
          <w:p>
            <w:pPr>
              <w:pStyle w:val="10"/>
              <w:numPr>
                <w:ilvl w:val="0"/>
                <w:numId w:val="0"/>
              </w:numPr>
              <w:spacing w:after="0" w:line="240" w:lineRule="auto"/>
              <w:ind w:leftChars="0"/>
              <w:rPr>
                <w:rFonts w:cs="Times New Roman"/>
                <w:color w:val="000000" w:themeColor="text1"/>
                <w:sz w:val="20"/>
                <w:szCs w:val="20"/>
                <w14:textFill>
                  <w14:solidFill>
                    <w14:schemeClr w14:val="tx1"/>
                  </w14:solidFill>
                </w14:textFill>
              </w:rPr>
            </w:pPr>
            <w:r>
              <w:rPr>
                <w:rFonts w:cs="Times New Roman"/>
                <w:color w:val="000000" w:themeColor="text1"/>
                <w:sz w:val="20"/>
                <w:szCs w:val="20"/>
                <w:lang w:val="en-GB"/>
                <w14:textFill>
                  <w14:solidFill>
                    <w14:schemeClr w14:val="tx1"/>
                  </w14:solidFill>
                </w14:textFill>
              </w:rPr>
              <w:t xml:space="preserve">   </w:t>
            </w:r>
            <w:r>
              <w:rPr>
                <w:rFonts w:cs="Times New Roman"/>
                <w:color w:val="000000" w:themeColor="text1"/>
                <w:sz w:val="20"/>
                <w:szCs w:val="20"/>
                <w14:textFill>
                  <w14:solidFill>
                    <w14:schemeClr w14:val="tx1"/>
                  </w14:solidFill>
                </w14:textFill>
              </w:rPr>
              <w:t xml:space="preserve"> </w:t>
            </w:r>
          </w:p>
          <w:p>
            <w:pPr>
              <w:pStyle w:val="10"/>
              <w:numPr>
                <w:ilvl w:val="0"/>
                <w:numId w:val="4"/>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Supervision of programme and projects</w:t>
            </w:r>
          </w:p>
          <w:p>
            <w:pPr>
              <w:pStyle w:val="10"/>
              <w:numPr>
                <w:ilvl w:val="0"/>
                <w:numId w:val="0"/>
              </w:numPr>
              <w:spacing w:after="0" w:line="240" w:lineRule="auto"/>
              <w:ind w:leftChars="0"/>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Community interface (CSC)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717" w:type="dxa"/>
          </w:tcPr>
          <w:p>
            <w:pPr>
              <w:spacing w:after="0" w:line="240" w:lineRule="auto"/>
              <w:ind w:left="360" w:hanging="198"/>
              <w:jc w:val="both"/>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3.</w:t>
            </w:r>
          </w:p>
        </w:tc>
        <w:tc>
          <w:tcPr>
            <w:tcW w:w="2239" w:type="dxa"/>
          </w:tcPr>
          <w:p>
            <w:pPr>
              <w:numPr>
                <w:ilvl w:val="0"/>
                <w:numId w:val="3"/>
              </w:numPr>
              <w:spacing w:after="0" w:line="240" w:lineRule="auto"/>
              <w:jc w:val="both"/>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Civil Society</w:t>
            </w:r>
          </w:p>
          <w:p>
            <w:pPr>
              <w:numPr>
                <w:ilvl w:val="0"/>
                <w:numId w:val="3"/>
              </w:numPr>
              <w:spacing w:after="0" w:line="240" w:lineRule="auto"/>
              <w:jc w:val="both"/>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CBO/NGOs/FBOs/</w:t>
            </w:r>
          </w:p>
          <w:p>
            <w:pPr>
              <w:numPr>
                <w:ilvl w:val="0"/>
                <w:numId w:val="3"/>
              </w:numPr>
              <w:spacing w:after="0" w:line="240" w:lineRule="auto"/>
              <w:jc w:val="both"/>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Religious Bodies, </w:t>
            </w:r>
          </w:p>
          <w:p>
            <w:pPr>
              <w:numPr>
                <w:ilvl w:val="0"/>
                <w:numId w:val="3"/>
              </w:numPr>
              <w:spacing w:after="0" w:line="240" w:lineRule="auto"/>
              <w:jc w:val="both"/>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PWDs/Aged </w:t>
            </w:r>
          </w:p>
          <w:p>
            <w:pPr>
              <w:numPr>
                <w:ilvl w:val="0"/>
                <w:numId w:val="3"/>
              </w:numPr>
              <w:spacing w:after="0" w:line="240" w:lineRule="auto"/>
              <w:jc w:val="both"/>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Women Groups</w:t>
            </w:r>
          </w:p>
        </w:tc>
        <w:tc>
          <w:tcPr>
            <w:tcW w:w="2960" w:type="dxa"/>
          </w:tcPr>
          <w:p>
            <w:pPr>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Secondary: </w:t>
            </w:r>
          </w:p>
        </w:tc>
        <w:tc>
          <w:tcPr>
            <w:tcW w:w="5243" w:type="dxa"/>
          </w:tcPr>
          <w:p>
            <w:pPr>
              <w:pStyle w:val="10"/>
              <w:spacing w:after="0" w:line="240" w:lineRule="auto"/>
              <w:ind w:left="360"/>
              <w:rPr>
                <w:rFonts w:cs="Times New Roman"/>
                <w:color w:val="000000" w:themeColor="text1"/>
                <w:sz w:val="20"/>
                <w:szCs w:val="20"/>
                <w14:textFill>
                  <w14:solidFill>
                    <w14:schemeClr w14:val="tx1"/>
                  </w14:solidFill>
                </w14:textFill>
              </w:rPr>
            </w:pPr>
          </w:p>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Demand accountability</w:t>
            </w:r>
          </w:p>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Transparency</w:t>
            </w:r>
          </w:p>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Advocacy </w:t>
            </w:r>
          </w:p>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Dissemination of information</w:t>
            </w:r>
          </w:p>
        </w:tc>
        <w:tc>
          <w:tcPr>
            <w:tcW w:w="3981" w:type="dxa"/>
          </w:tcPr>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Information dissemination </w:t>
            </w:r>
          </w:p>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Data collection</w:t>
            </w:r>
          </w:p>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Funding of </w:t>
            </w:r>
            <w:r>
              <w:rPr>
                <w:rFonts w:cs="Times New Roman"/>
                <w:color w:val="000000" w:themeColor="text1"/>
                <w:sz w:val="20"/>
                <w:szCs w:val="20"/>
                <w:lang w:val="en-GB"/>
                <w14:textFill>
                  <w14:solidFill>
                    <w14:schemeClr w14:val="tx1"/>
                  </w14:solidFill>
                </w14:textFill>
              </w:rPr>
              <w:t>Plan</w:t>
            </w:r>
            <w:r>
              <w:rPr>
                <w:rFonts w:cs="Times New Roman"/>
                <w:color w:val="000000" w:themeColor="text1"/>
                <w:sz w:val="20"/>
                <w:szCs w:val="20"/>
                <w14:textFill>
                  <w14:solidFill>
                    <w14:schemeClr w14:val="tx1"/>
                  </w14:solidFill>
                </w14:textFill>
              </w:rPr>
              <w:t xml:space="preserve"> Activities</w:t>
            </w:r>
          </w:p>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Facilitate  in building capacities </w:t>
            </w:r>
          </w:p>
          <w:p>
            <w:pPr>
              <w:pStyle w:val="10"/>
              <w:numPr>
                <w:ilvl w:val="0"/>
                <w:numId w:val="6"/>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Participate in meeting discussions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trPr>
        <w:tc>
          <w:tcPr>
            <w:tcW w:w="717" w:type="dxa"/>
            <w:vAlign w:val="center"/>
          </w:tcPr>
          <w:p>
            <w:pPr>
              <w:spacing w:after="0" w:line="240" w:lineRule="auto"/>
              <w:ind w:left="360" w:hanging="198"/>
              <w:jc w:val="center"/>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4.</w:t>
            </w:r>
          </w:p>
        </w:tc>
        <w:tc>
          <w:tcPr>
            <w:tcW w:w="2239" w:type="dxa"/>
            <w:vAlign w:val="center"/>
          </w:tcPr>
          <w:p>
            <w:pPr>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MMDAs/Departments and Agencies/ RCC</w:t>
            </w:r>
          </w:p>
        </w:tc>
        <w:tc>
          <w:tcPr>
            <w:tcW w:w="2960" w:type="dxa"/>
          </w:tcPr>
          <w:p>
            <w:pPr>
              <w:spacing w:after="0"/>
              <w:jc w:val="both"/>
              <w:rPr>
                <w:rFonts w:cs="Times New Roman"/>
                <w:color w:val="000000" w:themeColor="text1"/>
                <w:sz w:val="20"/>
                <w:szCs w:val="20"/>
                <w14:textFill>
                  <w14:solidFill>
                    <w14:schemeClr w14:val="tx1"/>
                  </w14:solidFill>
                </w14:textFill>
              </w:rPr>
            </w:pPr>
            <w:r>
              <w:rPr>
                <w:rFonts w:cs="Times New Roman"/>
                <w:b/>
                <w:color w:val="000000" w:themeColor="text1"/>
                <w:sz w:val="20"/>
                <w:szCs w:val="20"/>
                <w14:textFill>
                  <w14:solidFill>
                    <w14:schemeClr w14:val="tx1"/>
                  </w14:solidFill>
                </w14:textFill>
              </w:rPr>
              <w:t>Primary</w:t>
            </w:r>
            <w:r>
              <w:rPr>
                <w:rFonts w:cs="Times New Roman"/>
                <w:color w:val="000000" w:themeColor="text1"/>
                <w:sz w:val="20"/>
                <w:szCs w:val="20"/>
                <w14:textFill>
                  <w14:solidFill>
                    <w14:schemeClr w14:val="tx1"/>
                  </w14:solidFill>
                </w14:textFill>
              </w:rPr>
              <w:t>; since they directly implement policies, programmes and projects to determine their successes or otherwise for replanning</w:t>
            </w:r>
          </w:p>
        </w:tc>
        <w:tc>
          <w:tcPr>
            <w:tcW w:w="5243" w:type="dxa"/>
          </w:tcPr>
          <w:p>
            <w:pPr>
              <w:pStyle w:val="10"/>
              <w:numPr>
                <w:ilvl w:val="0"/>
                <w:numId w:val="7"/>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Advice/ Facilitate and coordinate programmes and projects</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Policy implementation</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 Source for funding </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Coordination and harmonisation-RCC</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Dissemination </w:t>
            </w:r>
          </w:p>
        </w:tc>
        <w:tc>
          <w:tcPr>
            <w:tcW w:w="3981" w:type="dxa"/>
          </w:tcPr>
          <w:p>
            <w:pPr>
              <w:pStyle w:val="10"/>
              <w:spacing w:after="0" w:line="240" w:lineRule="auto"/>
              <w:ind w:left="360"/>
              <w:rPr>
                <w:rFonts w:cs="Times New Roman"/>
                <w:color w:val="000000" w:themeColor="text1"/>
                <w:sz w:val="20"/>
                <w:szCs w:val="20"/>
                <w14:textFill>
                  <w14:solidFill>
                    <w14:schemeClr w14:val="tx1"/>
                  </w14:solidFill>
                </w14:textFill>
              </w:rPr>
            </w:pP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Technical advise</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Capacity building</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Harmonise plans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 w:hRule="atLeast"/>
        </w:trPr>
        <w:tc>
          <w:tcPr>
            <w:tcW w:w="717" w:type="dxa"/>
            <w:vAlign w:val="center"/>
          </w:tcPr>
          <w:p>
            <w:pPr>
              <w:ind w:left="360"/>
              <w:jc w:val="center"/>
              <w:rPr>
                <w:rFonts w:cs="Times New Roman"/>
                <w:color w:val="000000" w:themeColor="text1"/>
                <w:sz w:val="20"/>
                <w:szCs w:val="20"/>
                <w14:textFill>
                  <w14:solidFill>
                    <w14:schemeClr w14:val="tx1"/>
                  </w14:solidFill>
                </w14:textFill>
              </w:rPr>
            </w:pPr>
          </w:p>
          <w:p>
            <w:pPr>
              <w:ind w:left="360" w:hanging="198"/>
              <w:jc w:val="center"/>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5.</w:t>
            </w:r>
          </w:p>
        </w:tc>
        <w:tc>
          <w:tcPr>
            <w:tcW w:w="2239" w:type="dxa"/>
            <w:vAlign w:val="center"/>
          </w:tcPr>
          <w:p>
            <w:pPr>
              <w:numPr>
                <w:ilvl w:val="0"/>
                <w:numId w:val="8"/>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Political Parties/MP</w:t>
            </w:r>
          </w:p>
        </w:tc>
        <w:tc>
          <w:tcPr>
            <w:tcW w:w="2960" w:type="dxa"/>
            <w:vMerge w:val="restart"/>
            <w:vAlign w:val="center"/>
          </w:tcPr>
          <w:p>
            <w:pPr>
              <w:rPr>
                <w:rFonts w:cs="Times New Roman"/>
                <w:color w:val="000000" w:themeColor="text1"/>
                <w:sz w:val="20"/>
                <w:szCs w:val="20"/>
                <w14:textFill>
                  <w14:solidFill>
                    <w14:schemeClr w14:val="tx1"/>
                  </w14:solidFill>
                </w14:textFill>
              </w:rPr>
            </w:pPr>
          </w:p>
          <w:p>
            <w:pPr>
              <w:rPr>
                <w:rFonts w:cs="Times New Roman"/>
                <w:sz w:val="20"/>
                <w:szCs w:val="20"/>
              </w:rPr>
            </w:pPr>
          </w:p>
          <w:p>
            <w:pPr>
              <w:rPr>
                <w:rFonts w:cs="Times New Roman"/>
                <w:sz w:val="20"/>
                <w:szCs w:val="20"/>
              </w:rPr>
            </w:pPr>
          </w:p>
          <w:p>
            <w:pPr>
              <w:rPr>
                <w:rFonts w:cs="Times New Roman"/>
                <w:sz w:val="20"/>
                <w:szCs w:val="20"/>
              </w:rPr>
            </w:pPr>
            <w:r>
              <w:rPr>
                <w:rFonts w:cs="Times New Roman"/>
                <w:sz w:val="20"/>
                <w:szCs w:val="20"/>
              </w:rPr>
              <w:t xml:space="preserve">Primary </w:t>
            </w:r>
          </w:p>
        </w:tc>
        <w:tc>
          <w:tcPr>
            <w:tcW w:w="5243" w:type="dxa"/>
          </w:tcPr>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Demand accountability and transparency</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Champion government agenda</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Assess government policy</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Provide alternative scenarios</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Tracking of project implementation</w:t>
            </w:r>
          </w:p>
        </w:tc>
        <w:tc>
          <w:tcPr>
            <w:tcW w:w="3981" w:type="dxa"/>
          </w:tcPr>
          <w:p>
            <w:pPr>
              <w:pStyle w:val="10"/>
              <w:ind w:left="360"/>
              <w:rPr>
                <w:rFonts w:cs="Times New Roman"/>
                <w:color w:val="000000" w:themeColor="text1"/>
                <w:sz w:val="20"/>
                <w:szCs w:val="20"/>
                <w14:textFill>
                  <w14:solidFill>
                    <w14:schemeClr w14:val="tx1"/>
                  </w14:solidFill>
                </w14:textFill>
              </w:rPr>
            </w:pPr>
          </w:p>
          <w:p>
            <w:pPr>
              <w:pStyle w:val="10"/>
              <w:ind w:left="360"/>
              <w:rPr>
                <w:rFonts w:cs="Times New Roman"/>
                <w:color w:val="000000" w:themeColor="text1"/>
                <w:sz w:val="20"/>
                <w:szCs w:val="20"/>
                <w14:textFill>
                  <w14:solidFill>
                    <w14:schemeClr w14:val="tx1"/>
                  </w14:solidFill>
                </w14:textFill>
              </w:rPr>
            </w:pP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w:t>
            </w:r>
            <w:r>
              <w:rPr>
                <w:rFonts w:cs="Times New Roman"/>
                <w:color w:val="000000" w:themeColor="text1"/>
                <w:sz w:val="20"/>
                <w:szCs w:val="20"/>
                <w:lang w:val="en-GB"/>
                <w14:textFill>
                  <w14:solidFill>
                    <w14:schemeClr w14:val="tx1"/>
                  </w14:solidFill>
                </w14:textFill>
              </w:rPr>
              <w:t>rovide information</w:t>
            </w:r>
          </w:p>
          <w:p>
            <w:pPr>
              <w:pStyle w:val="10"/>
              <w:ind w:left="360"/>
              <w:rPr>
                <w:rFonts w:cs="Times New Roman"/>
                <w:color w:val="000000" w:themeColor="text1"/>
                <w:sz w:val="20"/>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717" w:type="dxa"/>
            <w:shd w:val="clear" w:color="auto" w:fill="FFFFFF" w:themeFill="background1"/>
            <w:vAlign w:val="center"/>
          </w:tcPr>
          <w:p>
            <w:pPr>
              <w:spacing w:after="0" w:line="240" w:lineRule="auto"/>
              <w:ind w:left="360" w:hanging="198"/>
              <w:jc w:val="center"/>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6.</w:t>
            </w:r>
          </w:p>
        </w:tc>
        <w:tc>
          <w:tcPr>
            <w:tcW w:w="2239" w:type="dxa"/>
            <w:shd w:val="clear" w:color="auto" w:fill="FFFFFF" w:themeFill="background1"/>
            <w:vAlign w:val="center"/>
          </w:tcPr>
          <w:p>
            <w:pPr>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Development Partners</w:t>
            </w:r>
          </w:p>
        </w:tc>
        <w:tc>
          <w:tcPr>
            <w:tcW w:w="2960" w:type="dxa"/>
            <w:vMerge w:val="continue"/>
            <w:shd w:val="clear" w:color="auto" w:fill="FFFFFF" w:themeFill="background1"/>
            <w:vAlign w:val="center"/>
          </w:tcPr>
          <w:p>
            <w:pPr>
              <w:rPr>
                <w:rFonts w:cs="Times New Roman"/>
                <w:color w:val="000000" w:themeColor="text1"/>
                <w:sz w:val="20"/>
                <w:szCs w:val="20"/>
                <w14:textFill>
                  <w14:solidFill>
                    <w14:schemeClr w14:val="tx1"/>
                  </w14:solidFill>
                </w14:textFill>
              </w:rPr>
            </w:pPr>
          </w:p>
        </w:tc>
        <w:tc>
          <w:tcPr>
            <w:tcW w:w="5243" w:type="dxa"/>
            <w:shd w:val="clear" w:color="auto" w:fill="FFFFFF" w:themeFill="background1"/>
          </w:tcPr>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monitor utilization of funds</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provide funds</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demand accountability and transparency</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track project execution</w:t>
            </w:r>
          </w:p>
        </w:tc>
        <w:tc>
          <w:tcPr>
            <w:tcW w:w="3981" w:type="dxa"/>
            <w:shd w:val="clear" w:color="auto" w:fill="FFFFFF" w:themeFill="background1"/>
          </w:tcPr>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assess project implementation</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provide funding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1" w:hRule="atLeast"/>
        </w:trPr>
        <w:tc>
          <w:tcPr>
            <w:tcW w:w="717" w:type="dxa"/>
            <w:shd w:val="clear" w:color="auto" w:fill="FFFFFF" w:themeFill="background1"/>
            <w:vAlign w:val="center"/>
          </w:tcPr>
          <w:p>
            <w:pPr>
              <w:spacing w:after="0" w:line="240" w:lineRule="auto"/>
              <w:ind w:left="360" w:hanging="198"/>
              <w:jc w:val="center"/>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7.</w:t>
            </w:r>
          </w:p>
        </w:tc>
        <w:tc>
          <w:tcPr>
            <w:tcW w:w="2239" w:type="dxa"/>
            <w:shd w:val="clear" w:color="auto" w:fill="FFFFFF" w:themeFill="background1"/>
            <w:vAlign w:val="center"/>
          </w:tcPr>
          <w:p>
            <w:pPr>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Researchers  Institutions</w:t>
            </w:r>
          </w:p>
        </w:tc>
        <w:tc>
          <w:tcPr>
            <w:tcW w:w="2960" w:type="dxa"/>
            <w:shd w:val="clear" w:color="auto" w:fill="FFFFFF" w:themeFill="background1"/>
            <w:vAlign w:val="center"/>
          </w:tcPr>
          <w:p>
            <w:pPr>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Secondary </w:t>
            </w:r>
          </w:p>
        </w:tc>
        <w:tc>
          <w:tcPr>
            <w:tcW w:w="5243" w:type="dxa"/>
            <w:shd w:val="clear" w:color="auto" w:fill="FFFFFF" w:themeFill="background1"/>
            <w:vAlign w:val="center"/>
          </w:tcPr>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Input for research</w:t>
            </w:r>
          </w:p>
        </w:tc>
        <w:tc>
          <w:tcPr>
            <w:tcW w:w="3981" w:type="dxa"/>
            <w:shd w:val="clear" w:color="auto" w:fill="FFFFFF" w:themeFill="background1"/>
            <w:vAlign w:val="center"/>
          </w:tcPr>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Data for policy planning and implementation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5" w:hRule="atLeast"/>
        </w:trPr>
        <w:tc>
          <w:tcPr>
            <w:tcW w:w="717" w:type="dxa"/>
            <w:shd w:val="clear" w:color="auto" w:fill="FFFFFF" w:themeFill="background1"/>
            <w:vAlign w:val="center"/>
          </w:tcPr>
          <w:p>
            <w:pPr>
              <w:spacing w:after="0" w:line="240" w:lineRule="auto"/>
              <w:ind w:left="360" w:hanging="198"/>
              <w:jc w:val="center"/>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8.</w:t>
            </w:r>
          </w:p>
        </w:tc>
        <w:tc>
          <w:tcPr>
            <w:tcW w:w="2239" w:type="dxa"/>
            <w:shd w:val="clear" w:color="auto" w:fill="FFFFFF" w:themeFill="background1"/>
            <w:vAlign w:val="center"/>
          </w:tcPr>
          <w:p>
            <w:pPr>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Media</w:t>
            </w:r>
          </w:p>
        </w:tc>
        <w:tc>
          <w:tcPr>
            <w:tcW w:w="2960" w:type="dxa"/>
            <w:shd w:val="clear" w:color="auto" w:fill="FFFFFF" w:themeFill="background1"/>
            <w:vAlign w:val="center"/>
          </w:tcPr>
          <w:p>
            <w:pPr>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 xml:space="preserve">Secondary </w:t>
            </w:r>
          </w:p>
        </w:tc>
        <w:tc>
          <w:tcPr>
            <w:tcW w:w="5243" w:type="dxa"/>
            <w:shd w:val="clear" w:color="auto" w:fill="FFFFFF" w:themeFill="background1"/>
            <w:vAlign w:val="center"/>
          </w:tcPr>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Information dissemination</w:t>
            </w:r>
          </w:p>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Demand accountability/transparency</w:t>
            </w:r>
          </w:p>
          <w:p>
            <w:pPr>
              <w:pStyle w:val="10"/>
              <w:ind w:left="360"/>
              <w:rPr>
                <w:rFonts w:cs="Times New Roman"/>
                <w:color w:val="000000" w:themeColor="text1"/>
                <w:sz w:val="20"/>
                <w:szCs w:val="20"/>
                <w14:textFill>
                  <w14:solidFill>
                    <w14:schemeClr w14:val="tx1"/>
                  </w14:solidFill>
                </w14:textFill>
              </w:rPr>
            </w:pPr>
          </w:p>
        </w:tc>
        <w:tc>
          <w:tcPr>
            <w:tcW w:w="3981" w:type="dxa"/>
            <w:shd w:val="clear" w:color="auto" w:fill="FFFFFF" w:themeFill="background1"/>
            <w:vAlign w:val="center"/>
          </w:tcPr>
          <w:p>
            <w:pPr>
              <w:pStyle w:val="10"/>
              <w:numPr>
                <w:ilvl w:val="0"/>
                <w:numId w:val="3"/>
              </w:numPr>
              <w:spacing w:after="0" w:line="240" w:lineRule="auto"/>
              <w:rPr>
                <w:rFonts w:cs="Times New Roman"/>
                <w:color w:val="000000" w:themeColor="text1"/>
                <w:sz w:val="20"/>
                <w:szCs w:val="20"/>
                <w14:textFill>
                  <w14:solidFill>
                    <w14:schemeClr w14:val="tx1"/>
                  </w14:solidFill>
                </w14:textFill>
              </w:rPr>
            </w:pPr>
            <w:r>
              <w:rPr>
                <w:rFonts w:cs="Times New Roman"/>
                <w:color w:val="000000" w:themeColor="text1"/>
                <w:sz w:val="20"/>
                <w:szCs w:val="20"/>
                <w14:textFill>
                  <w14:solidFill>
                    <w14:schemeClr w14:val="tx1"/>
                  </w14:solidFill>
                </w14:textFill>
              </w:rPr>
              <w:t>Participate in M&amp;E meetings and disseminate information</w:t>
            </w:r>
          </w:p>
        </w:tc>
      </w:tr>
    </w:tbl>
    <w:p>
      <w:pPr>
        <w:pStyle w:val="4"/>
        <w:ind w:left="0" w:leftChars="0" w:firstLine="0" w:firstLineChars="0"/>
        <w:jc w:val="both"/>
        <w:rPr>
          <w:rFonts w:cs="Times New Roman"/>
          <w:b/>
          <w:color w:val="000000" w:themeColor="text1"/>
          <w:szCs w:val="24"/>
          <w14:textFill>
            <w14:solidFill>
              <w14:schemeClr w14:val="tx1"/>
            </w14:solidFill>
          </w14:textFill>
        </w:rPr>
        <w:sectPr>
          <w:pgSz w:w="16838" w:h="11906" w:orient="landscape"/>
          <w:pgMar w:top="720" w:right="720" w:bottom="720" w:left="720" w:header="720" w:footer="720" w:gutter="0"/>
          <w:cols w:space="0" w:num="1"/>
          <w:rtlGutter w:val="0"/>
          <w:docGrid w:linePitch="360" w:charSpace="0"/>
        </w:sectPr>
      </w:pPr>
    </w:p>
    <w:p>
      <w:pPr>
        <w:pStyle w:val="4"/>
        <w:ind w:left="0" w:leftChars="0" w:firstLine="0" w:firstLineChars="0"/>
        <w:jc w:val="both"/>
        <w:rPr>
          <w:b w:val="0"/>
          <w:bCs w:val="0"/>
          <w:lang w:val="en-GB"/>
        </w:rPr>
      </w:pPr>
      <w:r>
        <w:rPr>
          <w:b w:val="0"/>
          <w:bCs w:val="0"/>
          <w:lang w:val="en-GB"/>
        </w:rPr>
        <w:t xml:space="preserve">   </w:t>
      </w:r>
    </w:p>
    <w:p>
      <w:pPr>
        <w:pStyle w:val="5"/>
        <w:ind w:left="0" w:firstLine="0"/>
        <w:jc w:val="both"/>
        <w:rPr>
          <w:lang w:val="en-GB"/>
        </w:rPr>
      </w:pPr>
      <w:r>
        <w:rPr>
          <w:lang w:val="en-GB"/>
        </w:rPr>
        <w:t xml:space="preserve">h.  </w:t>
      </w:r>
      <w:r>
        <w:rPr>
          <w:color w:val="C00000"/>
          <w:lang w:val="en-GB"/>
        </w:rPr>
        <w:t>Main Controversies And Major Areas Of Complaints</w:t>
      </w:r>
      <w:r>
        <w:rPr>
          <w:lang w:val="en-GB"/>
        </w:rPr>
        <w:t xml:space="preserve">: </w:t>
      </w:r>
    </w:p>
    <w:p>
      <w:pPr>
        <w:pStyle w:val="5"/>
        <w:ind w:left="0" w:leftChars="0" w:firstLine="0"/>
        <w:jc w:val="both"/>
        <w:rPr>
          <w:lang w:val="en-GB"/>
        </w:rPr>
      </w:pPr>
      <w:r>
        <w:rPr>
          <w:lang w:val="en-GB"/>
        </w:rPr>
        <w:t xml:space="preserve"> </w:t>
      </w:r>
    </w:p>
    <w:p>
      <w:pPr>
        <w:pStyle w:val="5"/>
        <w:ind w:left="0" w:leftChars="0" w:firstLine="0"/>
        <w:jc w:val="both"/>
        <w:rPr>
          <w:b/>
          <w:bCs/>
          <w:lang w:val="en-GB"/>
        </w:rPr>
      </w:pPr>
      <w:r>
        <w:rPr>
          <w:b/>
          <w:bCs/>
          <w:lang w:val="en-GB"/>
        </w:rPr>
        <w:t>Remarks from Traditional Authorities</w:t>
      </w:r>
    </w:p>
    <w:p>
      <w:pPr>
        <w:pStyle w:val="5"/>
        <w:ind w:left="0" w:leftChars="100" w:firstLine="0"/>
        <w:jc w:val="both"/>
        <w:rPr>
          <w:lang w:val="en-GB"/>
        </w:rPr>
      </w:pPr>
      <w:r>
        <w:rPr>
          <w:lang w:val="en-GB"/>
        </w:rPr>
        <w:t>On behalf of the traditional council of Ahamansu the chief linguist thank participant for their enthusiasm and support in the course of development, and also thank management for selecting Ahamansu as venue for such important exercise. He said the Ahamansu Area is bedevilled with a lot of development challenges and understanding gaps on how the Assembly system works. Hence Nananom and the community see this as an opportunity to put forward their complains and close the understanding gaps that existed for a long time. First of all, there is problem with the Chines jackpot: we don’t know how it came to being, but all we realised is that it introduce theft in our children and their attention to books is highly affected. All we are saying is that, the Assembly should find a way of taking it out of the District. Next to that is the issue of population, Ahamansu population has increased over the years, hence we need one more electoral Area. Also, the construction of Area council facility that was started in 2004 is yet to be commission because there is no electricity, water and furniture to complete the project, we therefore entreat management to consider completing that project. Finally the construction of cocoa road linking Ahamansu Junction through Ahamansu to Dapaa Junction has been poorly executed. Less than a year after construction, potholes have started developing on the road. We have information that, the work is not complete, if that is true, we entreat the Assembly to follow-up on the contractor to come and complete the work. He also lament the poor nature of implementation of government projects, it is attributed to the lack of authority by the locals to monitor, He call on the Assembly to introduce contractors to the local people so they can have authority to monitor as the planning officer has said. On this note, you are well come.</w:t>
      </w:r>
    </w:p>
    <w:p>
      <w:pPr>
        <w:pStyle w:val="5"/>
        <w:ind w:left="0" w:leftChars="100" w:firstLine="0"/>
        <w:jc w:val="both"/>
        <w:rPr>
          <w:lang w:val="en-GB"/>
        </w:rPr>
      </w:pPr>
      <w:r>
        <w:rPr>
          <w:lang w:val="en-GB"/>
        </w:rPr>
        <w:t>i.</w:t>
      </w:r>
      <w:r>
        <w:rPr>
          <w:color w:val="C00000"/>
          <w:lang w:val="en-GB"/>
        </w:rPr>
        <w:t>Proposals For The Resolution Of The Above Controversies And Complaints</w:t>
      </w:r>
      <w:r>
        <w:rPr>
          <w:lang w:val="en-GB"/>
        </w:rPr>
        <w:t xml:space="preserve">: on the issue of Chines Jackpot, the DCD said the permit was granted by authorities above the Assembly, but among the terms and conditions of it operations is that, it should be located at places were children are not allow to go, like beer bars, casinos, etc. However if they are operating beyond the boundaries set by their permit terms, we will take steps to stop them. On the issue of Area Council facility, the DCD said the performance contract signed by the Assembly this year has operations and strength of Area Council as one of the core indicator of measurement, hence the Assembly will ensure it completion with your blessings. On the issue of the road construction, DCD said effort to establish contact with the contractor is under way, hopefully what needs to be done to make the road durable will be done. Finally the DCD encourage participant to focus their attention on how they can contribute their quota for the District to prepare a credible plan. </w:t>
      </w:r>
    </w:p>
    <w:p>
      <w:pPr>
        <w:pStyle w:val="5"/>
        <w:ind w:left="0" w:leftChars="0" w:firstLine="0"/>
        <w:jc w:val="both"/>
        <w:rPr>
          <w:b/>
          <w:bCs/>
          <w:lang w:val="en-GB"/>
        </w:rPr>
      </w:pPr>
      <w:r>
        <w:rPr>
          <w:b/>
          <w:bCs/>
          <w:lang w:val="en-GB"/>
        </w:rPr>
        <w:t>Open forum(sample questions and concerns)</w:t>
      </w:r>
    </w:p>
    <w:p>
      <w:pPr>
        <w:pStyle w:val="5"/>
        <w:ind w:left="0" w:leftChars="100" w:firstLine="0"/>
        <w:jc w:val="both"/>
        <w:rPr>
          <w:lang w:val="en-GB"/>
        </w:rPr>
      </w:pPr>
      <w:r>
        <w:rPr>
          <w:lang w:val="en-GB"/>
        </w:rPr>
        <w:t xml:space="preserve">  1. when will the road contractor return to site 2. the culvert leading to our health centre is a death trap, we entreat the Assembly to give attention to it 3. Ahamansu need electricity extension to new develop areas and also improvement on power supply from two face to three face.</w:t>
      </w:r>
    </w:p>
    <w:p>
      <w:pPr>
        <w:pStyle w:val="4"/>
        <w:jc w:val="both"/>
        <w:rPr>
          <w:lang w:val="en-GB"/>
        </w:rPr>
      </w:pPr>
      <w:r>
        <w:rPr>
          <w:lang w:val="en-GB"/>
        </w:rPr>
        <w:t xml:space="preserve">j.  </w:t>
      </w:r>
      <w:r>
        <w:rPr>
          <w:color w:val="C00000"/>
          <w:lang w:val="en-GB"/>
        </w:rPr>
        <w:t>Unresolved Questions Or Queries</w:t>
      </w:r>
      <w:r>
        <w:rPr>
          <w:lang w:val="en-GB"/>
        </w:rPr>
        <w:t>: when will the road contractor return to site,</w:t>
      </w:r>
    </w:p>
    <w:p>
      <w:pPr>
        <w:pStyle w:val="4"/>
        <w:jc w:val="both"/>
        <w:rPr>
          <w:lang w:val="en-GB"/>
        </w:rPr>
      </w:pPr>
      <w:r>
        <w:rPr>
          <w:lang w:val="en-GB"/>
        </w:rPr>
        <w:t>k.</w:t>
      </w:r>
      <w:r>
        <w:rPr>
          <w:lang w:val="en-GB"/>
        </w:rPr>
        <w:tab/>
      </w:r>
      <w:r>
        <w:rPr>
          <w:color w:val="C00000"/>
          <w:lang w:val="en-GB"/>
        </w:rPr>
        <w:t>At What Level Are These Unresolved Problems Going To Be Resolved And How</w:t>
      </w:r>
      <w:r>
        <w:rPr>
          <w:lang w:val="en-GB"/>
        </w:rPr>
        <w:t>: the contract was awarded by cocoa board, and management are in the process of establishing contact with who ever is responsible. Hopefully positive result will be out soon.</w:t>
      </w:r>
    </w:p>
    <w:p>
      <w:pPr>
        <w:pStyle w:val="4"/>
        <w:jc w:val="both"/>
        <w:rPr>
          <w:lang w:val="en-GB"/>
        </w:rPr>
      </w:pPr>
      <w:r>
        <w:rPr>
          <w:lang w:val="en-GB"/>
        </w:rPr>
        <w:t>l.</w:t>
      </w:r>
      <w:r>
        <w:rPr>
          <w:lang w:val="en-GB"/>
        </w:rPr>
        <w:tab/>
      </w:r>
      <w:r>
        <w:rPr>
          <w:color w:val="C00000"/>
          <w:lang w:val="en-GB"/>
        </w:rPr>
        <w:t>A Brief Comment On General Level Of Participation</w:t>
      </w:r>
      <w:r>
        <w:rPr>
          <w:lang w:val="en-GB"/>
        </w:rPr>
        <w:t>: participation has been great and issues raised are well taken by management to improve performance</w:t>
      </w:r>
    </w:p>
    <w:p>
      <w:pPr>
        <w:jc w:val="both"/>
        <w:rPr>
          <w:lang w:val="en-GB"/>
        </w:rPr>
      </w:pPr>
    </w:p>
    <w:p>
      <w:pPr>
        <w:pStyle w:val="3"/>
        <w:rPr>
          <w:rFonts w:ascii="Times New Roman" w:hAnsi="Times New Roman"/>
          <w:b/>
          <w:szCs w:val="24"/>
          <w:lang w:val="en-GB"/>
        </w:rPr>
      </w:pPr>
      <w:r>
        <w:rPr>
          <w:rFonts w:ascii="Times New Roman" w:hAnsi="Times New Roman"/>
          <w:b/>
          <w:szCs w:val="24"/>
          <w:lang w:val="en-GB"/>
        </w:rPr>
        <w:t>Assent to Acceptance of Public Hearing Report:</w:t>
      </w:r>
    </w:p>
    <w:p>
      <w:pPr>
        <w:pStyle w:val="3"/>
        <w:rPr>
          <w:rFonts w:ascii="Times New Roman" w:hAnsi="Times New Roman"/>
          <w:szCs w:val="24"/>
          <w:lang w:val="en-GB"/>
        </w:rPr>
      </w:pPr>
    </w:p>
    <w:p>
      <w:pPr>
        <w:pStyle w:val="3"/>
        <w:rPr>
          <w:rFonts w:ascii="Times New Roman" w:hAnsi="Times New Roman"/>
          <w:szCs w:val="24"/>
          <w:lang w:val="en-GB"/>
        </w:rPr>
      </w:pPr>
      <w:r>
        <w:rPr>
          <w:rFonts w:ascii="Times New Roman" w:hAnsi="Times New Roman"/>
          <w:szCs w:val="24"/>
          <w:lang w:val="en-GB"/>
        </w:rPr>
        <w:t>Signature of:</w:t>
      </w:r>
    </w:p>
    <w:p>
      <w:pPr>
        <w:pStyle w:val="3"/>
        <w:rPr>
          <w:rFonts w:ascii="Times New Roman" w:hAnsi="Times New Roman"/>
          <w:szCs w:val="24"/>
          <w:lang w:val="en-GB"/>
        </w:rPr>
      </w:pPr>
    </w:p>
    <w:p>
      <w:pPr>
        <w:jc w:val="both"/>
        <w:rPr>
          <w:lang w:val="en-GB"/>
        </w:rPr>
      </w:pPr>
      <w:r>
        <w:rPr>
          <w:lang w:val="en-GB"/>
        </w:rPr>
        <w:t>DCE: ...............................</w:t>
      </w:r>
    </w:p>
    <w:p>
      <w:pPr>
        <w:jc w:val="both"/>
        <w:rPr>
          <w:lang w:val="en-GB"/>
        </w:rPr>
      </w:pPr>
    </w:p>
    <w:p>
      <w:pPr>
        <w:jc w:val="both"/>
        <w:rPr>
          <w:lang w:val="en-GB"/>
        </w:rPr>
      </w:pPr>
      <w:r>
        <w:rPr>
          <w:lang w:val="en-GB"/>
        </w:rPr>
        <w:t>DCD: ...............................</w:t>
      </w:r>
    </w:p>
    <w:p>
      <w:pPr>
        <w:jc w:val="both"/>
        <w:rPr>
          <w:lang w:val="en-GB"/>
        </w:rPr>
      </w:pPr>
    </w:p>
    <w:p>
      <w:pPr>
        <w:jc w:val="both"/>
        <w:rPr>
          <w:lang w:val="en-GB"/>
        </w:rPr>
      </w:pPr>
      <w:r>
        <w:rPr>
          <w:lang w:val="en-GB"/>
        </w:rPr>
        <w:t>Presiding Member of DAs: …………........................................................</w:t>
      </w:r>
    </w:p>
    <w:p>
      <w:pPr>
        <w:jc w:val="both"/>
        <w:rPr>
          <w:lang w:val="en-GB"/>
        </w:rPr>
      </w:pPr>
    </w:p>
    <w:p>
      <w:pPr>
        <w:jc w:val="both"/>
        <w:rPr>
          <w:lang w:val="en-GB"/>
        </w:rPr>
      </w:pPr>
      <w:r>
        <w:rPr>
          <w:lang w:val="en-GB"/>
        </w:rPr>
        <w:t>Chairman of Development Planning Sub-committee ………...…………......</w:t>
      </w:r>
    </w:p>
    <w:p>
      <w:pPr>
        <w:jc w:val="both"/>
        <w:rPr>
          <w:lang w:val="en-GB"/>
        </w:rPr>
      </w:pPr>
    </w:p>
    <w:p>
      <w:pPr>
        <w:jc w:val="both"/>
        <w:rPr>
          <w:lang w:val="en-GB"/>
        </w:rPr>
      </w:pPr>
      <w:r>
        <w:rPr>
          <w:lang w:val="en-GB"/>
        </w:rPr>
        <w:t>Signature of Planning Officer: ...........................................</w:t>
      </w:r>
    </w:p>
    <w:p>
      <w:pPr>
        <w:rPr>
          <w:lang w:val="en-GB"/>
        </w:rPr>
      </w:pP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Symbol">
    <w:panose1 w:val="05050102010706020507"/>
    <w:charset w:val="02"/>
    <w:family w:val="auto"/>
    <w:pitch w:val="default"/>
    <w:sig w:usb0="00000000" w:usb1="00000000" w:usb2="00000000" w:usb3="00000000" w:csb0="80000000" w:csb1="00000000"/>
  </w:font>
  <w:font w:name="+mn-ea">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swiss"/>
    <w:pitch w:val="default"/>
    <w:sig w:usb0="E4002EFF" w:usb1="C000E47F" w:usb2="00000009" w:usb3="00000000" w:csb0="200001FF" w:csb1="00000000"/>
  </w:font>
  <w:font w:name="Arial Black">
    <w:panose1 w:val="020B0A04020102020204"/>
    <w:charset w:val="00"/>
    <w:family w:val="auto"/>
    <w:pitch w:val="default"/>
    <w:sig w:usb0="A00002AF" w:usb1="400078FB" w:usb2="00000000" w:usb3="00000000" w:csb0="6000009F" w:csb1="DFD70000"/>
  </w:font>
  <w:font w:name="Verdana">
    <w:panose1 w:val="020B0604030504040204"/>
    <w:charset w:val="00"/>
    <w:family w:val="auto"/>
    <w:pitch w:val="default"/>
    <w:sig w:usb0="A10006FF" w:usb1="4000205B" w:usb2="00000010" w:usb3="00000000" w:csb0="2000019F" w:csb1="00000000"/>
  </w:font>
  <w:font w:name="Wingdings">
    <w:panose1 w:val="05000000000000000000"/>
    <w:charset w:val="00"/>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Tahoma">
    <w:panose1 w:val="020B0604030504040204"/>
    <w:charset w:val="00"/>
    <w:family w:val="swiss"/>
    <w:pitch w:val="default"/>
    <w:sig w:usb0="E1002EFF" w:usb1="C000605B" w:usb2="00000029" w:usb3="00000000" w:csb0="200101FF" w:csb1="20280000"/>
  </w:font>
  <w:font w:name="Albertus Extra Bold">
    <w:altName w:val="Candara"/>
    <w:panose1 w:val="00000000000000000000"/>
    <w:charset w:val="00"/>
    <w:family w:val="swiss"/>
    <w:pitch w:val="default"/>
    <w:sig w:usb0="00000000" w:usb1="00000000" w:usb2="00000000" w:usb3="00000000" w:csb0="00000093" w:csb1="00000000"/>
  </w:font>
  <w:font w:name="Algerian">
    <w:panose1 w:val="04020705040A02060702"/>
    <w:charset w:val="00"/>
    <w:family w:val="decorative"/>
    <w:pitch w:val="default"/>
    <w:sig w:usb0="00000003" w:usb1="00000000" w:usb2="00000000" w:usb3="00000000" w:csb0="20000001" w:csb1="00000000"/>
  </w:font>
  <w:font w:name="Bodoni MT Black">
    <w:panose1 w:val="02070A03080606020203"/>
    <w:charset w:val="00"/>
    <w:family w:val="roman"/>
    <w:pitch w:val="default"/>
    <w:sig w:usb0="00000003" w:usb1="00000000" w:usb2="00000000" w:usb3="00000000" w:csb0="20000001" w:csb1="00000000"/>
  </w:font>
  <w:font w:name="Brush Script MT">
    <w:panose1 w:val="03060802040406070304"/>
    <w:charset w:val="00"/>
    <w:family w:val="script"/>
    <w:pitch w:val="default"/>
    <w:sig w:usb0="00000003" w:usb1="00000000" w:usb2="00000000" w:usb3="00000000" w:csb0="20000001" w:csb1="00000000"/>
  </w:font>
  <w:font w:name="Antique Olive">
    <w:altName w:val="Corbel"/>
    <w:panose1 w:val="00000000000000000000"/>
    <w:charset w:val="00"/>
    <w:family w:val="swiss"/>
    <w:pitch w:val="default"/>
    <w:sig w:usb0="00000000" w:usb1="00000000" w:usb2="00000000" w:usb3="00000000" w:csb0="00000093" w:csb1="00000000"/>
  </w:font>
  <w:font w:name="Lucida Console">
    <w:panose1 w:val="020B0609040504020204"/>
    <w:charset w:val="00"/>
    <w:family w:val="modern"/>
    <w:pitch w:val="default"/>
    <w:sig w:usb0="8000028F" w:usb1="00001800" w:usb2="00000000" w:usb3="00000000" w:csb0="0000001F" w:csb1="D7D70000"/>
  </w:font>
  <w:font w:name="Engravers MT">
    <w:panose1 w:val="02090707080505020304"/>
    <w:charset w:val="00"/>
    <w:family w:val="roman"/>
    <w:pitch w:val="default"/>
    <w:sig w:usb0="00000003" w:usb1="00000000" w:usb2="00000000" w:usb3="00000000" w:csb0="20000001" w:csb1="00000000"/>
  </w:font>
  <w:font w:name="Albertus Medium">
    <w:altName w:val="Candara"/>
    <w:panose1 w:val="00000000000000000000"/>
    <w:charset w:val="00"/>
    <w:family w:val="swiss"/>
    <w:pitch w:val="default"/>
    <w:sig w:usb0="00000000" w:usb1="00000000" w:usb2="00000000" w:usb3="00000000" w:csb0="00000093" w:csb1="00000000"/>
  </w:font>
  <w:font w:name="Candara">
    <w:panose1 w:val="020E0502030303020204"/>
    <w:charset w:val="00"/>
    <w:family w:val="auto"/>
    <w:pitch w:val="default"/>
    <w:sig w:usb0="A00002EF" w:usb1="4000A44B" w:usb2="00000000" w:usb3="00000000" w:csb0="2000019F" w:csb1="00000000"/>
  </w:font>
  <w:font w:name="Corbel">
    <w:panose1 w:val="020B0503020204020204"/>
    <w:charset w:val="00"/>
    <w:family w:val="auto"/>
    <w:pitch w:val="default"/>
    <w:sig w:usb0="A00002EF" w:usb1="4000A44B" w:usb2="00000000" w:usb3="00000000" w:csb0="2000019F" w:csb1="00000000"/>
  </w:font>
  <w:font w:name="Book Antiqua">
    <w:panose1 w:val="02040602050305030304"/>
    <w:charset w:val="00"/>
    <w:family w:val="roman"/>
    <w:pitch w:val="default"/>
    <w:sig w:usb0="00000287" w:usb1="00000000" w:usb2="00000000" w:usb3="00000000" w:csb0="2000009F" w:csb1="DFD70000"/>
  </w:font>
  <w:font w:name="Calibri">
    <w:panose1 w:val="020F0502020204030204"/>
    <w:charset w:val="01"/>
    <w:family w:val="auto"/>
    <w:pitch w:val="default"/>
    <w:sig w:usb0="E0002AFF" w:usb1="C000247B" w:usb2="00000009" w:usb3="00000000" w:csb0="200001FF" w:csb1="00000000"/>
  </w:font>
  <w:font w:name="MS Mincho">
    <w:altName w:val="Yu Gothic UI"/>
    <w:panose1 w:val="02020609040205080304"/>
    <w:charset w:val="80"/>
    <w:family w:val="modern"/>
    <w:pitch w:val="default"/>
    <w:sig w:usb0="00000000" w:usb1="00000000" w:usb2="00000012" w:usb3="00000000" w:csb0="0002009F" w:csb1="00000000"/>
  </w:font>
  <w:font w:name="Arial Narrow">
    <w:panose1 w:val="020B0606020202030204"/>
    <w:charset w:val="00"/>
    <w:family w:val="swiss"/>
    <w:pitch w:val="default"/>
    <w:sig w:usb0="00000287" w:usb1="00000800" w:usb2="00000000" w:usb3="00000000" w:csb0="2000009F" w:csb1="DFD70000"/>
  </w:font>
  <w:font w:name="Aharoni">
    <w:altName w:val="Segoe UI Semibold"/>
    <w:panose1 w:val="02010803020104030203"/>
    <w:charset w:val="B1"/>
    <w:family w:val="auto"/>
    <w:pitch w:val="default"/>
    <w:sig w:usb0="00000000" w:usb1="00000000" w:usb2="00000000" w:usb3="00000000" w:csb0="00000020" w:csb1="00000000"/>
  </w:font>
  <w:font w:name="Yu Gothic UI">
    <w:panose1 w:val="020B0500000000000000"/>
    <w:charset w:val="80"/>
    <w:family w:val="auto"/>
    <w:pitch w:val="default"/>
    <w:sig w:usb0="E00002FF" w:usb1="2AC7FDFF" w:usb2="00000016" w:usb3="00000000" w:csb0="2002009F" w:csb1="00000000"/>
  </w:font>
  <w:font w:name="Segoe UI Semibold">
    <w:panose1 w:val="020B0702040204020203"/>
    <w:charset w:val="00"/>
    <w:family w:val="auto"/>
    <w:pitch w:val="default"/>
    <w:sig w:usb0="E4002EFF" w:usb1="C000E47F"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Comic Sans MS">
    <w:panose1 w:val="030F0702030302020204"/>
    <w:charset w:val="00"/>
    <w:family w:val="script"/>
    <w:pitch w:val="default"/>
    <w:sig w:usb0="00000287" w:usb1="00000013" w:usb2="00000000" w:usb3="00000000" w:csb0="2000009F" w:csb1="00000000"/>
  </w:font>
  <w:font w:name="Agency FB">
    <w:panose1 w:val="020B0503020202020204"/>
    <w:charset w:val="00"/>
    <w:family w:val="swiss"/>
    <w:pitch w:val="default"/>
    <w:sig w:usb0="00000003" w:usb1="00000000" w:usb2="00000000" w:usb3="00000000" w:csb0="20000001" w:csb1="00000000"/>
  </w:font>
  <w:font w:name="Copperplate Gothic Bold">
    <w:panose1 w:val="020E0705020206020404"/>
    <w:charset w:val="00"/>
    <w:family w:val="swiss"/>
    <w:pitch w:val="default"/>
    <w:sig w:usb0="00000003" w:usb1="00000000" w:usb2="00000000" w:usb3="00000000" w:csb0="20000001" w:csb1="00000000"/>
  </w:font>
  <w:font w:name="Sitka Small">
    <w:panose1 w:val="02000505000000020004"/>
    <w:charset w:val="00"/>
    <w:family w:val="auto"/>
    <w:pitch w:val="default"/>
    <w:sig w:usb0="A00002EF" w:usb1="4000204B" w:usb2="00000000" w:usb3="00000000" w:csb0="2000019F" w:csb1="00000000"/>
  </w:font>
  <w:font w:name="Sitka Subheading">
    <w:panose1 w:val="02000505000000020004"/>
    <w:charset w:val="00"/>
    <w:family w:val="auto"/>
    <w:pitch w:val="default"/>
    <w:sig w:usb0="A00002EF" w:usb1="4000204B" w:usb2="00000000" w:usb3="00000000" w:csb0="2000019F" w:csb1="00000000"/>
  </w:font>
  <w:font w:name="Sitka Text">
    <w:panose1 w:val="02000505000000020004"/>
    <w:charset w:val="00"/>
    <w:family w:val="auto"/>
    <w:pitch w:val="default"/>
    <w:sig w:usb0="A00002EF" w:usb1="4000204B" w:usb2="00000000" w:usb3="00000000" w:csb0="2000019F" w:csb1="00000000"/>
  </w:font>
  <w:font w:name="Snap ITC">
    <w:panose1 w:val="04040A07060A02020202"/>
    <w:charset w:val="00"/>
    <w:family w:val="auto"/>
    <w:pitch w:val="default"/>
    <w:sig w:usb0="00000003" w:usb1="00000000" w:usb2="00000000" w:usb3="00000000" w:csb0="20000001" w:csb1="00000000"/>
  </w:font>
  <w:font w:name="Stencil">
    <w:panose1 w:val="040409050D0802020404"/>
    <w:charset w:val="00"/>
    <w:family w:val="auto"/>
    <w:pitch w:val="default"/>
    <w:sig w:usb0="00000003" w:usb1="00000000" w:usb2="00000000" w:usb3="00000000" w:csb0="20000001" w:csb1="00000000"/>
  </w:font>
  <w:font w:name="Sylfaen">
    <w:panose1 w:val="010A0502050306030303"/>
    <w:charset w:val="00"/>
    <w:family w:val="auto"/>
    <w:pitch w:val="default"/>
    <w:sig w:usb0="04000687" w:usb1="00000000" w:usb2="00000000" w:usb3="00000000" w:csb0="2000009F" w:csb1="00000000"/>
  </w:font>
  <w:font w:name="Symbol">
    <w:panose1 w:val="05050102010706020507"/>
    <w:charset w:val="00"/>
    <w:family w:val="auto"/>
    <w:pitch w:val="default"/>
    <w:sig w:usb0="00000000" w:usb1="00000000" w:usb2="00000000" w:usb3="00000000" w:csb0="80000000" w:csb1="00000000"/>
  </w:font>
  <w:font w:name="TeamViewer10">
    <w:panose1 w:val="050B0102010101010101"/>
    <w:charset w:val="00"/>
    <w:family w:val="auto"/>
    <w:pitch w:val="default"/>
    <w:sig w:usb0="00000000" w:usb1="00000000" w:usb2="00000000" w:usb3="80000000" w:csb0="00000000" w:csb1="00008000"/>
  </w:font>
  <w:font w:name="Tempus Sans ITC">
    <w:panose1 w:val="04020404030D07020202"/>
    <w:charset w:val="00"/>
    <w:family w:val="auto"/>
    <w:pitch w:val="default"/>
    <w:sig w:usb0="00000003" w:usb1="00000000" w:usb2="00000000" w:usb3="00000000" w:csb0="20000001" w:csb1="00000000"/>
  </w:font>
  <w:font w:name="Trebuchet MS">
    <w:panose1 w:val="020B0603020202020204"/>
    <w:charset w:val="00"/>
    <w:family w:val="auto"/>
    <w:pitch w:val="default"/>
    <w:sig w:usb0="00000687" w:usb1="00000000" w:usb2="00000000" w:usb3="00000000" w:csb0="2000009F" w:csb1="00000000"/>
  </w:font>
  <w:font w:name="Tw Cen MT">
    <w:panose1 w:val="020B0602020104020603"/>
    <w:charset w:val="00"/>
    <w:family w:val="auto"/>
    <w:pitch w:val="default"/>
    <w:sig w:usb0="00000003" w:usb1="00000000" w:usb2="00000000" w:usb3="00000000" w:csb0="20000003" w:csb1="00000000"/>
  </w:font>
  <w:font w:name="Tw Cen MT Condensed">
    <w:panose1 w:val="020B0606020104020203"/>
    <w:charset w:val="00"/>
    <w:family w:val="auto"/>
    <w:pitch w:val="default"/>
    <w:sig w:usb0="00000003" w:usb1="00000000" w:usb2="00000000" w:usb3="00000000" w:csb0="20000003" w:csb1="00000000"/>
  </w:font>
  <w:font w:name="Tw Cen MT Condensed Extra Bold">
    <w:panose1 w:val="020B0803020202020204"/>
    <w:charset w:val="00"/>
    <w:family w:val="auto"/>
    <w:pitch w:val="default"/>
    <w:sig w:usb0="00000003" w:usb1="00000000" w:usb2="00000000" w:usb3="00000000" w:csb0="20000003" w:csb1="00000000"/>
  </w:font>
  <w:font w:name="Sitka Heading">
    <w:panose1 w:val="02000505000000020004"/>
    <w:charset w:val="00"/>
    <w:family w:val="auto"/>
    <w:pitch w:val="default"/>
    <w:sig w:usb0="A00002EF" w:usb1="4000204B" w:usb2="00000000" w:usb3="00000000" w:csb0="2000019F" w:csb1="00000000"/>
  </w:font>
  <w:font w:name="Sitka Display">
    <w:panose1 w:val="02000505000000020004"/>
    <w:charset w:val="00"/>
    <w:family w:val="auto"/>
    <w:pitch w:val="default"/>
    <w:sig w:usb0="A00002EF" w:usb1="4000204B" w:usb2="00000000" w:usb3="00000000" w:csb0="2000019F" w:csb1="00000000"/>
  </w:font>
  <w:font w:name="Sitka Banner">
    <w:panose1 w:val="02000505000000020004"/>
    <w:charset w:val="00"/>
    <w:family w:val="auto"/>
    <w:pitch w:val="default"/>
    <w:sig w:usb0="A00002EF" w:usb1="4000204B" w:usb2="00000000" w:usb3="00000000" w:csb0="2000019F" w:csb1="00000000"/>
  </w:font>
  <w:font w:name="Showcard Gothic">
    <w:panose1 w:val="04020904020102020604"/>
    <w:charset w:val="00"/>
    <w:family w:val="auto"/>
    <w:pitch w:val="default"/>
    <w:sig w:usb0="00000003" w:usb1="00000000" w:usb2="00000000" w:usb3="00000000" w:csb0="20000001" w:csb1="00000000"/>
  </w:font>
  <w:font w:name="Segoe UI Symbol">
    <w:panose1 w:val="020B0502040204020203"/>
    <w:charset w:val="00"/>
    <w:family w:val="auto"/>
    <w:pitch w:val="default"/>
    <w:sig w:usb0="800001E3" w:usb1="1200FFEF" w:usb2="00040000" w:usb3="04000000" w:csb0="00000001" w:csb1="40000000"/>
  </w:font>
  <w:font w:name="Segoe UI Semilight">
    <w:panose1 w:val="020B04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2">
    <w:pict>
      <v:shape id="0" type="#_x0000_t75" style="width:15px;height:15px" o:bullet="t">
        <v:imagedata r:id="rId1" o:title=""/>
      </v:shape>
    </w:pict>
  </w:numPicBullet>
  <w:numPicBullet w:numPicBulletId="3">
    <w:pict>
      <v:shape id="1" type="#_x0000_t75" style="width:15px;height:15px" o:bullet="t">
        <v:imagedata r:id="rId2" o:title=""/>
      </v:shape>
    </w:pict>
  </w:numPicBullet>
  <w:numPicBullet w:numPicBulletId="4">
    <w:pict>
      <v:shape id="2" type="#_x0000_t75" style="width:15px;height:15px" o:bullet="t">
        <v:imagedata r:id="rId3" o:title=""/>
      </v:shape>
    </w:pict>
  </w:numPicBullet>
  <w:numPicBullet w:numPicBulletId="1">
    <w:pict>
      <v:shape id="3" type="#_x0000_t75" style="width:15px;height:15px" o:bullet="t">
        <v:imagedata r:id="rId4" o:title=""/>
      </v:shape>
    </w:pict>
  </w:numPicBullet>
  <w:numPicBullet w:numPicBulletId="0">
    <w:pict>
      <v:shape id="4" type="#_x0000_t75" style="width:15px;height:15px" o:bullet="t">
        <v:imagedata r:id="rId5" o:title=""/>
      </v:shape>
    </w:pict>
  </w:numPicBullet>
  <w:numPicBullet w:numPicBulletId="5">
    <w:pict>
      <v:shape id="5" type="#_x0000_t75" style="width:15px;height:15px" o:bullet="t">
        <v:imagedata r:id="rId6" o:title=""/>
      </v:shape>
    </w:pict>
  </w:numPicBullet>
  <w:abstractNum w:abstractNumId="0">
    <w:nsid w:val="023C6E75"/>
    <w:multiLevelType w:val="multilevel"/>
    <w:tmpl w:val="023C6E75"/>
    <w:lvl w:ilvl="0" w:tentative="0">
      <w:start w:val="1"/>
      <w:numFmt w:val="bullet"/>
      <w:lvlText w:val=""/>
      <w:lvlPicBulletId w:val="5"/>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2202601D"/>
    <w:multiLevelType w:val="multilevel"/>
    <w:tmpl w:val="2202601D"/>
    <w:lvl w:ilvl="0" w:tentative="0">
      <w:start w:val="1"/>
      <w:numFmt w:val="bullet"/>
      <w:lvlText w:val=""/>
      <w:lvlPicBulletId w:val="2"/>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26524981"/>
    <w:multiLevelType w:val="multilevel"/>
    <w:tmpl w:val="26524981"/>
    <w:lvl w:ilvl="0" w:tentative="0">
      <w:start w:val="1"/>
      <w:numFmt w:val="bullet"/>
      <w:lvlText w:val=""/>
      <w:lvlPicBulletId w:val="1"/>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
    <w:nsid w:val="38AB38F5"/>
    <w:multiLevelType w:val="multilevel"/>
    <w:tmpl w:val="38AB38F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430C55BF"/>
    <w:multiLevelType w:val="multilevel"/>
    <w:tmpl w:val="430C55BF"/>
    <w:lvl w:ilvl="0" w:tentative="0">
      <w:start w:val="1"/>
      <w:numFmt w:val="bullet"/>
      <w:lvlText w:val=""/>
      <w:lvlPicBulletId w:val="0"/>
      <w:lvlJc w:val="left"/>
      <w:pPr>
        <w:tabs>
          <w:tab w:val="left" w:pos="360"/>
        </w:tabs>
        <w:ind w:left="360" w:hanging="360"/>
      </w:pPr>
      <w:rPr>
        <w:rFonts w:hint="default" w:ascii="Symbol" w:hAnsi="Symbol"/>
      </w:rPr>
    </w:lvl>
    <w:lvl w:ilvl="1" w:tentative="0">
      <w:start w:val="0"/>
      <w:numFmt w:val="bullet"/>
      <w:lvlText w:val=""/>
      <w:lvlJc w:val="left"/>
      <w:pPr>
        <w:tabs>
          <w:tab w:val="left" w:pos="1080"/>
        </w:tabs>
        <w:ind w:left="1080" w:hanging="360"/>
      </w:pPr>
      <w:rPr>
        <w:rFonts w:hint="default" w:ascii="Wingdings" w:hAnsi="Wingdings" w:eastAsia="Times New Roman" w:cs="Times New Roman"/>
      </w:rPr>
    </w:lvl>
    <w:lvl w:ilvl="2" w:tentative="0">
      <w:start w:val="1"/>
      <w:numFmt w:val="lowerRoman"/>
      <w:lvlText w:val="%3."/>
      <w:lvlJc w:val="right"/>
      <w:pPr>
        <w:tabs>
          <w:tab w:val="left" w:pos="1800"/>
        </w:tabs>
        <w:ind w:left="1800" w:hanging="180"/>
      </w:pPr>
    </w:lvl>
    <w:lvl w:ilvl="3" w:tentative="0">
      <w:start w:val="1"/>
      <w:numFmt w:val="decimal"/>
      <w:lvlText w:val="%4."/>
      <w:lvlJc w:val="left"/>
      <w:pPr>
        <w:tabs>
          <w:tab w:val="left" w:pos="2520"/>
        </w:tabs>
        <w:ind w:left="2520" w:hanging="360"/>
      </w:pPr>
    </w:lvl>
    <w:lvl w:ilvl="4" w:tentative="0">
      <w:start w:val="1"/>
      <w:numFmt w:val="lowerLetter"/>
      <w:lvlText w:val="%5."/>
      <w:lvlJc w:val="left"/>
      <w:pPr>
        <w:tabs>
          <w:tab w:val="left" w:pos="3240"/>
        </w:tabs>
        <w:ind w:left="3240" w:hanging="360"/>
      </w:pPr>
    </w:lvl>
    <w:lvl w:ilvl="5" w:tentative="0">
      <w:start w:val="1"/>
      <w:numFmt w:val="lowerRoman"/>
      <w:lvlText w:val="%6."/>
      <w:lvlJc w:val="right"/>
      <w:pPr>
        <w:tabs>
          <w:tab w:val="left" w:pos="3960"/>
        </w:tabs>
        <w:ind w:left="3960" w:hanging="180"/>
      </w:pPr>
    </w:lvl>
    <w:lvl w:ilvl="6" w:tentative="0">
      <w:start w:val="1"/>
      <w:numFmt w:val="decimal"/>
      <w:lvlText w:val="%7."/>
      <w:lvlJc w:val="left"/>
      <w:pPr>
        <w:tabs>
          <w:tab w:val="left" w:pos="4680"/>
        </w:tabs>
        <w:ind w:left="4680" w:hanging="360"/>
      </w:pPr>
    </w:lvl>
    <w:lvl w:ilvl="7" w:tentative="0">
      <w:start w:val="1"/>
      <w:numFmt w:val="lowerLetter"/>
      <w:lvlText w:val="%8."/>
      <w:lvlJc w:val="left"/>
      <w:pPr>
        <w:tabs>
          <w:tab w:val="left" w:pos="5400"/>
        </w:tabs>
        <w:ind w:left="5400" w:hanging="360"/>
      </w:pPr>
    </w:lvl>
    <w:lvl w:ilvl="8" w:tentative="0">
      <w:start w:val="1"/>
      <w:numFmt w:val="lowerRoman"/>
      <w:lvlText w:val="%9."/>
      <w:lvlJc w:val="right"/>
      <w:pPr>
        <w:tabs>
          <w:tab w:val="left" w:pos="6120"/>
        </w:tabs>
        <w:ind w:left="6120" w:hanging="180"/>
      </w:pPr>
    </w:lvl>
  </w:abstractNum>
  <w:abstractNum w:abstractNumId="5">
    <w:nsid w:val="43C816C1"/>
    <w:multiLevelType w:val="multilevel"/>
    <w:tmpl w:val="43C816C1"/>
    <w:lvl w:ilvl="0" w:tentative="0">
      <w:start w:val="1"/>
      <w:numFmt w:val="bullet"/>
      <w:lvlText w:val=""/>
      <w:lvlPicBulletId w:val="3"/>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6">
    <w:nsid w:val="593CF88B"/>
    <w:multiLevelType w:val="singleLevel"/>
    <w:tmpl w:val="593CF88B"/>
    <w:lvl w:ilvl="0" w:tentative="0">
      <w:start w:val="1"/>
      <w:numFmt w:val="decimal"/>
      <w:suff w:val="space"/>
      <w:lvlText w:val="%1."/>
      <w:lvlJc w:val="left"/>
    </w:lvl>
  </w:abstractNum>
  <w:abstractNum w:abstractNumId="7">
    <w:nsid w:val="7E0254C4"/>
    <w:multiLevelType w:val="multilevel"/>
    <w:tmpl w:val="7E0254C4"/>
    <w:lvl w:ilvl="0" w:tentative="0">
      <w:start w:val="1"/>
      <w:numFmt w:val="bullet"/>
      <w:lvlText w:val=""/>
      <w:lvlPicBulletId w:val="4"/>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num w:numId="1">
    <w:abstractNumId w:val="3"/>
  </w:num>
  <w:num w:numId="2">
    <w:abstractNumId w:val="6"/>
  </w:num>
  <w:num w:numId="3">
    <w:abstractNumId w:val="4"/>
  </w:num>
  <w:num w:numId="4">
    <w:abstractNumId w:val="2"/>
  </w:num>
  <w:num w:numId="5">
    <w:abstractNumId w:val="1"/>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C55CA2"/>
    <w:rsid w:val="042F7232"/>
    <w:rsid w:val="05E16795"/>
    <w:rsid w:val="06D32779"/>
    <w:rsid w:val="168D4FFD"/>
    <w:rsid w:val="16922CED"/>
    <w:rsid w:val="194B3965"/>
    <w:rsid w:val="1E345F23"/>
    <w:rsid w:val="1EEF2E00"/>
    <w:rsid w:val="1FB1494C"/>
    <w:rsid w:val="212C5FEF"/>
    <w:rsid w:val="227136C6"/>
    <w:rsid w:val="24EC7CCF"/>
    <w:rsid w:val="2AC55CA2"/>
    <w:rsid w:val="33690D6B"/>
    <w:rsid w:val="33B8615F"/>
    <w:rsid w:val="36F97333"/>
    <w:rsid w:val="3AD85AE4"/>
    <w:rsid w:val="3B111038"/>
    <w:rsid w:val="3C81438C"/>
    <w:rsid w:val="47046202"/>
    <w:rsid w:val="4D0675A2"/>
    <w:rsid w:val="5526731B"/>
    <w:rsid w:val="55881B5F"/>
    <w:rsid w:val="584744E6"/>
    <w:rsid w:val="5BE4446E"/>
    <w:rsid w:val="5D356119"/>
    <w:rsid w:val="5DBB7BC0"/>
    <w:rsid w:val="63C527DA"/>
    <w:rsid w:val="6825009E"/>
    <w:rsid w:val="722C39C5"/>
    <w:rsid w:val="74042E1F"/>
    <w:rsid w:val="77D46E4A"/>
    <w:rsid w:val="7D8C04E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en-US" w:bidi="ar-SA"/>
    </w:rPr>
  </w:style>
  <w:style w:type="paragraph" w:styleId="2">
    <w:name w:val="heading 2"/>
    <w:basedOn w:val="1"/>
    <w:next w:val="1"/>
    <w:unhideWhenUsed/>
    <w:qFormat/>
    <w:uiPriority w:val="0"/>
    <w:pPr>
      <w:keepNext/>
      <w:outlineLvl w:val="1"/>
    </w:pPr>
    <w:rPr>
      <w:b/>
      <w:bCs/>
      <w:sz w:val="26"/>
      <w:szCs w:val="20"/>
    </w:rPr>
  </w:style>
  <w:style w:type="character" w:default="1" w:styleId="8">
    <w:name w:val="Default Paragraph Font"/>
    <w:semiHidden/>
    <w:uiPriority w:val="0"/>
  </w:style>
  <w:style w:type="table" w:default="1" w:styleId="9">
    <w:name w:val="Normal Table"/>
    <w:semiHidden/>
    <w:qFormat/>
    <w:uiPriority w:val="0"/>
    <w:tblPr>
      <w:tblLayout w:type="fixed"/>
      <w:tblCellMar>
        <w:top w:w="0" w:type="dxa"/>
        <w:left w:w="108" w:type="dxa"/>
        <w:bottom w:w="0" w:type="dxa"/>
        <w:right w:w="108" w:type="dxa"/>
      </w:tblCellMar>
    </w:tblPr>
  </w:style>
  <w:style w:type="paragraph" w:styleId="3">
    <w:name w:val="Body Text"/>
    <w:basedOn w:val="1"/>
    <w:uiPriority w:val="0"/>
    <w:pPr>
      <w:jc w:val="both"/>
    </w:pPr>
    <w:rPr>
      <w:rFonts w:ascii="Arial" w:hAnsi="Arial"/>
      <w:szCs w:val="20"/>
    </w:rPr>
  </w:style>
  <w:style w:type="paragraph" w:styleId="4">
    <w:name w:val="List"/>
    <w:basedOn w:val="1"/>
    <w:qFormat/>
    <w:uiPriority w:val="0"/>
    <w:pPr>
      <w:ind w:left="360" w:hanging="360"/>
    </w:pPr>
  </w:style>
  <w:style w:type="paragraph" w:styleId="5">
    <w:name w:val="List 2"/>
    <w:basedOn w:val="1"/>
    <w:uiPriority w:val="0"/>
    <w:pPr>
      <w:ind w:left="720" w:hanging="360"/>
      <w:contextualSpacing/>
    </w:pPr>
  </w:style>
  <w:style w:type="paragraph" w:styleId="6">
    <w:name w:val="List Continue"/>
    <w:basedOn w:val="1"/>
    <w:uiPriority w:val="0"/>
    <w:pPr>
      <w:spacing w:after="120"/>
      <w:ind w:left="360"/>
      <w:contextualSpacing/>
    </w:pPr>
  </w:style>
  <w:style w:type="paragraph" w:styleId="7">
    <w:name w:val="List Continue 2"/>
    <w:basedOn w:val="1"/>
    <w:uiPriority w:val="0"/>
    <w:pPr>
      <w:spacing w:after="120"/>
      <w:ind w:left="720"/>
      <w:contextualSpacing/>
    </w:pPr>
  </w:style>
  <w:style w:type="paragraph" w:customStyle="1" w:styleId="10">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Office_10.2.0.5811_F1E327BC-269C-435d-A152-05C5408002CA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2017-06-10T07:10:00Z</dcterms:created>
  <dc:creator>taxMan</dc:creator>
  <cp:lastModifiedBy>taxMan</cp:lastModifiedBy>
  <cp:lastPrinted>2017-06-13T07:57:29Z</cp:lastPrinted>
  <dcterms:modified xsi:type="dcterms:W3CDTF">2017-06-13T07:57:59Z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2057-10.2.0.5811</vt:lpwstr>
  </property>
</Properties>
</file>